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1P.147/2006 vom 13. April 2007</w:t>
      </w:r>
    </w:p>
    <w:p>
      <w:r>
        <w:t>Bundesgericht, 2007-04-13, IT</w:t>
      </w:r>
    </w:p>
    <w:p>
      <w:r>
        <w:rPr>
          <w:b/>
        </w:rPr>
        <w:t xml:space="preserve">Quelle: </w:t>
      </w:r>
      <w:r>
        <w:t>https://mcp.opencaselaw.ch/entscheid/bger_1P.147_2006</w:t>
      </w:r>
    </w:p>
    <w:p>
      <w:r>
        <w:t>FR: TF 1P.147/2006 du 13 avril 2007</w:t>
      </w:r>
    </w:p>
    <w:p>
      <w:r>
        <w:t>IT: TF 1P.147/2006 del 13 aprile 2007</w:t>
      </w:r>
    </w:p>
    <w:p>
      <w:pPr>
        <w:pStyle w:val="Heading2"/>
      </w:pPr>
      <w:r>
        <w:t>Regeste</w:t>
      </w:r>
    </w:p>
    <w:p>
      <w:r>
        <w:t>indennità a seguito del proscioglimento dell'accusato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 segue che il ricorso, in quanto ammissibile, deve essere parzialmente accolto e la sentenza impugnata annullata. Non si prelevano spese ( art. 156 cpv. 1 OG ), mentre si giustifica di assegnare al ricorrente un'indennità per ripetibili, ridotta tenendo conto della sua parziale soccombenza.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