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1P.140/2005 vom 7. Juli 2005</w:t>
      </w:r>
    </w:p>
    <w:p>
      <w:r>
        <w:t>Bundesgericht, 2005-07-07, FR</w:t>
      </w:r>
    </w:p>
    <w:p>
      <w:r>
        <w:rPr>
          <w:b/>
        </w:rPr>
        <w:t xml:space="preserve">Quelle: </w:t>
      </w:r>
      <w:r>
        <w:t>https://mcp.opencaselaw.ch/entscheid/bger_1P.140_2005</w:t>
      </w:r>
    </w:p>
    <w:p>
      <w:r>
        <w:t>FR: TF 1P.140/2005 du 7 juillet 2005</w:t>
      </w:r>
    </w:p>
    <w:p>
      <w:r>
        <w:t>IT: TF 1P.140/2005 del 7 luglio 2005</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130 II 65 consid. 1, 388 consid. 1).</w:t>
      </w:r>
    </w:p>
    <w:p>
      <w:r>
        <w:rPr>
          <w:b/>
        </w:rPr>
        <w:t>E. 1.1</w:t>
      </w:r>
    </w:p>
    <w:p>
      <w:r>
        <w:t>Selon l' art. 87 OJ , le recours de droit public n'est recevable contre les décisions préjudiciables et incidentes prises séparément - autres que celles sur la compétence et sur les demandes de récusation - que s'il peut en résulter un dommage irréparable. Constitue une décision finale au sens de l' art. 87 OJ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122 I 39 consid. 1a/aa; 120 Ia 369 consid. 1b; 120 III 143 consid. 1a). En l'espèce, l'arrêt attaqué a pour effet de refuser la sanction préalable requise par la société intimée selon l'art. 36 LConstr./NE, dont la teneur est la suivante: "1. Le permis de construire ou sanction définitive peut être précédé de la sanction préalable, qui liquide définitivement les questions de masse, d'implantation, d'affectation et d'accès, d'une part, les autorisations spéciales ou dérogations pouvant être accordées à ce stade, d'autre part.</w:t>
      </w:r>
    </w:p>
    <w:p>
      <w:r>
        <w:rPr>
          <w:b/>
        </w:rPr>
        <w:t>E. 1.2</w:t>
      </w:r>
    </w:p>
    <w:p>
      <w:r>
        <w:t>Le recours satisfaisant aux autres conditions posées par les art. 84 ss OJ , il sied d'entrer en matière.</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C'est à la lumière de ces principes que doit être appréciée la motivation de la recourante.</w:t>
      </w:r>
    </w:p>
    <w:p>
      <w:r>
        <w:rPr>
          <w:b/>
        </w:rPr>
        <w:t>E. 1.4</w:t>
      </w:r>
    </w:p>
    <w:p>
      <w:r>
        <w:t>Le Tribunal fédéral s'estimant suffisamment renseigné par le dossier, il n'y a pas lieu de procéder à l'inspection locale requise par la recourante (cf. art. 95 OJ ). 2. En premier lieu, la recourante conteste que l'interdiction de construire six niveaux apparents, seuls trois lui étant autorisés, soit compatible avec l' art. 26 Cst.</w:t>
      </w:r>
    </w:p>
    <w:p>
      <w:r>
        <w:rPr>
          <w:b/>
        </w:rPr>
        <w:t>E. 2</w:t>
      </w:r>
    </w:p>
    <w:p>
      <w:r>
        <w:t>En cas de sanction à deux degrés, la mise à l'enquête publique intervient lors de la demande de sanction préalable.</w:t>
      </w:r>
    </w:p>
    <w:p>
      <w:r>
        <w:rPr>
          <w:b/>
        </w:rPr>
        <w:t>E. 2.1</w:t>
      </w:r>
    </w:p>
    <w:p>
      <w:r>
        <w:t>Une atteinte à la propriété doit reposer sur une loi au sens formel, être justifiée par un intérêt public et demeurer proportionnée au but visé (cf. art. 36 Cst. ). Selon la jurisprudence, le principe de la proportionnalité se compose traditionnellement de trois volets: la règle d'aptitude ou d'adéquation, qui exige que le moyen choisi soit propre à atteindre le but visé; la règle de nécessité, qui impose qu'entre plusieurs moyens adaptés, on choisisse celui qui porte l'atteinte la moins grave aux intérêts en cause; et la règle de proportionnalité au sens étroit, qui requiert de mettre en balance les effets de la mesure choisie sur la situation des personnes concernées avec le résultat escompté du point de vue du but visé ( ATF 130 II 425 consid. 5.2; 125 I 474 consid. 3; 126 I 112 consid. 5b; 125 I 474 consid. 3). Le Tribunal fédéral revoit l'interprétation et l'application du droit cantonal effectuées par les autorités cantonales sous l'angle restreint de l'arbitraire lorsque l'atteinte à une liberté constitutionnelle n'est pas grave; quand elle l'est, il procède en revanche à un examen libre. Dans tous les cas, il examine librement si cette interprétation et cette application - non arbitraires, voire correctes s'il s'agit d'une atteinte particulièrement grave - sont compatibles avec la garantie constitutionnelle invoquée ( ATF 122 I 236 consid. 4a p. 244; 121 I 326 consid. 2b 120 Ia 67 consid. 3b p. 72, 74 consid. 5 p. 79; Walter Kälin, Das Verfahren der staatsrechtlichen Beschwerde, 2ème éd., Berne 1994, p. 175 ss). Il examine ainsi librement l'existence d'un intérêt public et le respect du principe de la proportionnalité ( ATF 122 I 236 consid. 4a; 120 Ia 67 consid. 3b, 74 consid. 5). Le Tribunal fédéral fait cependant montre de retenue dans l'examen de questions d'appréciation ou de circonstances locales dont les autorités cantonales ont une meilleure connaissance ( ATF 113 Ib 126 consid. 7). En recours de droit public, le Tribunal fédéral est en principe lié par les constatations de fait de l'autorité cantonale, même lorsqu'il s'agit d'une atteinte grave à une liberté constitutionnelle. Une jurisprudence constante reconnaît en effet au juge du fait un large pouvoir d'appréciation dans ce domaine. Le Tribunal fédéral ne revoit que sous l'angle de l'arbitraire l'établissement des faits pertinents et l'appréciation des preuves.</w:t>
      </w:r>
    </w:p>
    <w:p>
      <w:r>
        <w:rPr>
          <w:b/>
        </w:rPr>
        <w:t>E. 2.2</w:t>
      </w:r>
    </w:p>
    <w:p>
      <w:r>
        <w:t>Le prononcé attaqué oblige la recourante à, pour le moins, réduire de moitié le nombre d'appartements prévus. Il constitue ainsi une restriction grave à la garantie de la propriété (cf. ATF 116 Ia 181 consid. 3c; 113 Ia 437 consid. 2a; 109 Ia 188 consid. 2), de sorte que le Tribunal fédéral dispose d'un libre pouvoir d'examen à cet égard.</w:t>
      </w:r>
    </w:p>
    <w:p>
      <w:r>
        <w:rPr>
          <w:b/>
        </w:rPr>
        <w:t>E. 2.3</w:t>
      </w:r>
    </w:p>
    <w:p>
      <w:r>
        <w:t>Le Tribunal administratif a fondé sa détermination des niveaux apparents admissibles sur l'art. 12 RELCAT/NE, dont la teneur est la suivante: "1Les dimensions des constructions sont calculées à partir du terrain naturel, en fonction de la surface constructible de la parcelle. 2Le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L'autorité intimée a considéré qu'aux termes de l'alinéa 2 de cette disposition, il suffisait que l'aménagement remonte à de nombreuses années pour que le terrain aménagé - ici excavé - soit considéré comme le terrain naturel. N'étant plus exploitée depuis une quarantaine d'année, la carrière litigieuse remplissait cette condition, si bien que les dimensions des constructions devaient être calculées à partir du fond de l'excavation.</w:t>
      </w:r>
    </w:p>
    <w:p>
      <w:r>
        <w:rPr>
          <w:b/>
        </w:rPr>
        <w:t>E. 2.4</w:t>
      </w:r>
    </w:p>
    <w:p>
      <w:r>
        <w:t>La recourante estime en premier lieu que la carrière en cause n'entre pas dans le champ d'application de l'art. 12 al. 2 RELCAT, faute de constituer un terrain aménagé. A l'appui, elle souligne que l'état de la carrière désaffectée relève davantage de l'abandon que de l'aménagement; au surplus, sa situation géographique découle plus du hasard des strates géologiques que d'une planification réfléchie. Enfin, la carrière se situe en pleine zone d'habitation et présente de ce fait un caractère insolite par rapport à l'ensemble du terrain naturel des autres parcelles. Ce raisonnement est mal fondé. Au sens usuel du terme, le "terrain aménagé (remblayé ou excavé)" s'oppose au terrain naturel en ce sens que son état résulte de l'activité humaine. Tel est bien le cas d'une carrière, qui consiste par définition en une excavation artificielle. Rien n'indique que le législateur aurait entendu accorder un autre sens à cette notion lorsqu'il l'a introduite dans l'art. 12 al. 2 RELCAT. Une carrière demeure ainsi un terrain aménagé, quels que soient son état d'abandon, les motifs ayant guidé son emplacement ou l'affectation des parcelles environnantes. Par conséquent, en considérant la carrière en cause comme un terrain aménagé au sens de l'art. 12 al. 2 RELCAT, le Tribunal administratif a procédé à une interprétation correcte de cette disposition. Ces mêmes motifs conduisent à écarter le grief selon lequel le traitement identique des carrières exploitées et des carrières désaffectées constituerait une assimilation insoutenable au regard de l' art. 8 Cst.</w:t>
      </w:r>
    </w:p>
    <w:p>
      <w:r>
        <w:rPr>
          <w:b/>
        </w:rPr>
        <w:t>E. 2.5</w:t>
      </w:r>
    </w:p>
    <w:p>
      <w:r>
        <w:t>La recourante invoque le principe de la proportionnalité.</w:t>
      </w:r>
    </w:p>
    <w:p>
      <w:r>
        <w:rPr>
          <w:b/>
        </w:rPr>
        <w:t>E. 2.5.1</w:t>
      </w:r>
    </w:p>
    <w:p>
      <w:r>
        <w:t>Reprochant d'abord au Tribunal administratif de ne pas avoir procédé à une pesée des intérêts en cause, la recourante relève qu'il ne s'est "jamais soucié de savoir si le raisonnement qu'il tenait au sujet de l'art. 12 RELCAT/NE constituait une restriction admissible à la garantie de la propriété." Sur le fond, la recourante dénie que l'application de l'art. 12 al. 2 RELCAT/NE réponde ici à un intérêt public prédominant. D'une part, la construction des immeubles projetés n'altérerait pas l'homogénéité du quartier, mais permettrait au contraire d'éliminer un vestige inesthétique et de revaloriser la carrière en cause, satisfaisant ainsi à l'intérêt public à la création d'un milieu bâti harmonieusement aménagé et favorable à l'habitat au sens de l'art. 1 al. 2 let. b de la loi fédérale du 22 juin 1979 sur l'aménagement du territoire (LAT; RS 700). D'autre part, toujours de l'avis de la recourante, ses intérêts privés sont gravement atteints car, "en limitant la hauteur des constructions à six mètres depuis le fond de la carrière [de 20 m de haut] jusqu'à la corniche, le tribunal administratif a, d'ores et déjà, rendu impossible toute construction future, dans la mesure où ces dernières auraient l'allure de petites maisonnettes encaissées au fond d'un puits, sans compter les problèmes relatifs aux exigences légales concernant les vues."</w:t>
      </w:r>
    </w:p>
    <w:p>
      <w:r>
        <w:rPr>
          <w:b/>
        </w:rPr>
        <w:t>E. 2.5.2</w:t>
      </w:r>
    </w:p>
    <w:p>
      <w:r>
        <w:t>En réalité, la recourante soulève d'abord, en lien avec les art. 26 et 36 Cst. , une violation de son droit à une décision motivée (découlant de l' art. 29 al. 2 Cst. ; cf. ATF 129 I 232 consid. 3.2; 126 I 97 consid. 2b; 111 Ia 2 consid. 4b). A juste titre. Pour qu'une décision restreignant la garantie de la propriété satisfasse aux exigences de la Constitution, il ne suffit pas qu'elle soit conforme à la norme cantonale sur laquelle elle se fonde. Encore faut-il que ce prononcé respecte les principes de l'intérêt public et de la proportionnalité consacrés par l' art. 36 al. 2 et 3 Cst. Or, le Tribunal administratif s'est borné à rechercher une interprétation puis une application correctes de l'art. 12 al. 2 RELCAT/NE, sans examiner si la solution ainsi obtenue obéissait, dans les circonstances très particulières de l'espèce, aux deux principes précités. Par conséquent, le jugement incriminé viole sous cet angle les art. 26 et 36 Cst. Dans ces conditions, il n'y a pas lieu d'examiner, en l'état, les arguments de la recourante quant au poids des intérêts en jeu - grief qui s'appuie du reste sur des faits ne ressortant pas de la décision attaquée. Il est de même inutile de traiter la violation alléguée de la liberté économique, celle-ci n'ayant pas de portée indépendante dans la présente cause.</w:t>
      </w:r>
    </w:p>
    <w:p>
      <w:r>
        <w:rPr>
          <w:b/>
        </w:rPr>
        <w:t>E. 2.5.3</w:t>
      </w:r>
    </w:p>
    <w:p>
      <w:r>
        <w:t>Le bien-fondé du présent moyen n'entraîne toutefois pas l'admission du recours, le refus de la sanction préalable devant de toute façon être confirmé (cf. consid. 3 infra).</w:t>
      </w:r>
    </w:p>
    <w:p>
      <w:r>
        <w:rPr>
          <w:b/>
        </w:rPr>
        <w:t>E. 3</w:t>
      </w:r>
    </w:p>
    <w:p>
      <w:r>
        <w:t>La recourante conteste la décision attaquée en tant qu'elle estime les voies d'accès insuffisantes.</w:t>
      </w:r>
    </w:p>
    <w:p>
      <w:r>
        <w:rPr>
          <w:b/>
        </w:rPr>
        <w:t>E. 3.1</w:t>
      </w:r>
    </w:p>
    <w:p>
      <w:r>
        <w:t>Le Tribunal administratif a appuyé sa décision sur l'art. 9 LConstr./NE, selon lequel, compte tenu de l'importance des constructions et installations, les accès à la voie publique doivent garantir la sécurité des piétons et celle de la circulation routière, ainsi que l'intervention des services publics. D'après la décision attaquée, le projet prévoit certes un plan de circulation, en ce sens qu'il impose aux véhicules d'entrer dans le parking par un tunnel existant sous la parcelle www, déjà grevé d'une servitude de passage en faveur de la parcelle xxx, puis d'en sortir par le "chemin zzz" appartenant à la commune de A.________. Toutefois, le parking de 56 places entraînerait une hausse significative de la circulation dans le tunnel, fût-elle unidirectionnelle, ce qui impliquerait une aggravation indue de la servitude souterraine de passage. Cette question relevait certes du droit civil, mais devait être résolue à titre préjudiciel dans le cadre de la procédure administrative, sans que cela ne préjuge d'une procédure devant l'instance civile compétente. Quant au "chemin zzz", il desservait déjà - en bidirectionnel - trois parcelles habitées par cinq familles, et n'était pas à même d'absorber en toute sécurité l'accroissement de trafic occasionné par un parking de 56 places. Or, un élargissement de ce chemin ne semblait réalisable qu'en empiétant sur des parcelles bordières appartenant à des tiers, lesquels ne paraissaient pas disposés à céder une partie de leurs terrains.</w:t>
      </w:r>
    </w:p>
    <w:p>
      <w:r>
        <w:rPr>
          <w:b/>
        </w:rPr>
        <w:t>E. 3.2</w:t>
      </w:r>
    </w:p>
    <w:p>
      <w:r>
        <w:t>Se plaignant d'une violation arbitraire de l'art. 36 LConstr./NE, la recourante reproche au Tribunal administratif d'avoir tranché la question des accès au stade de la demande de sanction préalable. Cette argumentation est vaine, dès lors que, selon son texte clair auquel il n'est pas arbitraire de se tenir, l'art. 36 al. 1 LConstr./NE dicte précisément à l'autorité de liquider définitivement les questions d'accès au stade de la sanction préalable.</w:t>
      </w:r>
    </w:p>
    <w:p>
      <w:r>
        <w:rPr>
          <w:b/>
        </w:rPr>
        <w:t>E. 3.3</w:t>
      </w:r>
    </w:p>
    <w:p>
      <w:r>
        <w:t>La recourante conteste encore que les constructions projetées puissent entraîner une aggravation de la servitude de passage souterrain au sens de l' art. 739 CC . A son avis, "dans la mesure où les véhicules circuleront dans un tunnel suffisamment enterré pour qu'il n'y ait pas de vibrations, il n'y aurait pas de désagréments supplémentaires pour le fonds servant." Ce grief doit être écarté. Outre que la recourante ne démontre pas l'absence de vibrations, qui ne ressort pas de la décision attaquée, elle omet de tenir compte des autres nuisances occasionnées par le surcroît de trafic résultant d'un parking de 56 places, notamment en termes de bruit et de gaz d'échappement. Or, ces émissions peuvent d'autant moins être négligées qu'à teneur des plans figurant au dossier, le fonds servant comporte un immeuble, sis entre les deux ouvertures du tunnel.</w:t>
      </w:r>
    </w:p>
    <w:p>
      <w:r>
        <w:rPr>
          <w:b/>
        </w:rPr>
        <w:t>E. 3.4</w:t>
      </w:r>
    </w:p>
    <w:p>
      <w:r>
        <w:t>Dans ces conditions, il sied de confirmer le second motif cumulativement retenu par le Tribunal cantonal pour refuser la sanction préalable au projet présenté, ce qui suffit à rejeter le recours.</w:t>
      </w:r>
    </w:p>
    <w:p>
      <w:r>
        <w:rPr>
          <w:b/>
        </w:rPr>
        <w:t>E. 4</w:t>
      </w:r>
    </w:p>
    <w:p>
      <w:r>
        <w:t>Vu ce qui précède, le recours doit être rejeté dans la mesure de sa recevabilité. Succombant, la recourante supportera des frais judiciaires ( art. 156 OJ ); compte tenu des circonstances, ils seront réduits. Il convient en outre de mettre à sa charge une indemnité pour les dépens en faveur des intimés, qui ont conclu au rejet du recours par l'intermédiaire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