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1P.136/2000 vom 29. Oktober 1999</w:t>
      </w:r>
    </w:p>
    <w:p>
      <w:r>
        <w:t>Bundesgericht, 1999-10-29, DE</w:t>
      </w:r>
    </w:p>
    <w:p>
      <w:r>
        <w:rPr>
          <w:b/>
        </w:rPr>
        <w:t xml:space="preserve">Quelle: </w:t>
      </w:r>
      <w:r>
        <w:t>https://mcp.opencaselaw.ch/entscheid/bger_1P.136_2000</w:t>
      </w:r>
    </w:p>
    <w:p>
      <w:r>
        <w:t>FR: TF 1P.136/2000 du 29 octobre 1999</w:t>
      </w:r>
    </w:p>
    <w:p>
      <w:r>
        <w:t>IT: TF 1P.136/2000 del 29 ottobre 1999</w:t>
      </w:r>
    </w:p>
    <w:p>
      <w:pPr>
        <w:pStyle w:val="Heading2"/>
      </w:pPr>
      <w:r>
        <w:t>Erwägungen</w:t>
      </w:r>
    </w:p>
    <w:p>
      <w:r>
        <w:rPr>
          <w:b/>
        </w:rPr>
        <w:t>E. 1</w:t>
      </w:r>
    </w:p>
    <w:p>
      <w:r>
        <w:t>a) Beim angefochtenen Entscheid der Beschwerdekammer des Kantonsgerichts handelt es sich um einen letztinstanzlichen kantonalen Endentscheid ( Art. 86 Abs. 1 OG ).</w:t>
      </w:r>
    </w:p>
    <w:p>
      <w:r>
        <w:t>Die Beschwerdeführerin ist befugt, sich gegen das Nichteintreten auf ihre Beschwerde und die Auferlegung von Verfahrenskosten zur Wehr zu setzen ( Art. 88 OG ), und sie macht die Verletzung von verfassungsmässigen Rechten gel- tend ( Art. 84 Abs. 1 lit. a OG ). Auf die form- und fristgerecht eingereichte staatsrechtliche Beschwerde ist daher, unter dem Vorbehalt gehörig begründeter Rügen ( Art. 90 Abs. 1 lit. b OG ; BGE 125 I 71 E. 1c ; 122 I 70 E. 1c ; 121 I 334 E. 1b), einzutreten.</w:t>
      </w:r>
    </w:p>
    <w:p>
      <w:r>
        <w:t>b) Die staatsrechtliche Beschwerde ist allerdings, von hier nicht in Betracht fallenden Ausnahmen abgesehen, kassatorischer Natur ( BGE 123 I 112 E. 2b; 118 Ia 64 E. 1e).</w:t>
      </w:r>
    </w:p>
    <w:p>
      <w:r>
        <w:t>Die Anträge sind daher unzulässig, soweit die Beschwerdeführerin mehr verlangt als die Aufhebung des angefochtenen Urteils.</w:t>
      </w:r>
    </w:p>
    <w:p>
      <w:r>
        <w:rPr>
          <w:b/>
        </w:rPr>
        <w:t>E. 2</w:t>
      </w:r>
    </w:p>
    <w:p>
      <w:r>
        <w:t>a) Die Beschwerdekammer des Kantonsgerichtes ist im angefochtenen Entscheid auf die Beschwerde nicht eingetreten, weil sie von einer juristischen Person eingereicht worden war und nach ihrer Auffassung nur natürliche Personen mit der Parteivertretung vor Gericht beauftragt werden dürfen. Die Beschwerdeführerin hält das für willkürlich.</w:t>
      </w:r>
    </w:p>
    <w:p>
      <w:r>
        <w:t>b) Im Sozialversicherungsprozess ergibt sich aus dem Verbot des überspitzten Formalismus, dass einer Partei, deren Rechtsmittel nicht von einem Rechtsanwalt eingereicht wurde, wie dies das kantonale Prozessrecht verlangt, eine kurze Nachfrist zur Verbesserung des Mangels eingeräumt werden muss ( BGE 99 V 120 E. 3c). Auch für andere Verfahrensarten besteht nach der Rechtsprechung unter Umständen eine derartige Verpflichtung, namentlich etwa dann, wenn das kantonale Recht den Kreis der zur Parteivertretung be- fugten Personen nicht eindeutig umschreibt oder die Vorinstanzen den Vertreter stillschweigend als vertretungsbefugt anerkannt haben ( BGE 125 I 166 E. 3d).</w:t>
      </w:r>
    </w:p>
    <w:p>
      <w:r>
        <w:t>c) Vorliegend ergibt sich aus Art. 102 Abs. 2 StPO , dass die Vertretung von Parteien vor Gericht im bündnerischen Strafverfahren nicht den Rechtsanwälten vorbehalten ist, sondern an keine besonderen fachlichen Qualifikationen gebunden ist. Voraussetzung ist nur, dass der Vertreter handlungsfähig ist, in bürgerlichen Rechten und Ehren steht und über einen guten Leumund verfügt. Aus diesen Voraussetzungen leitet das Kantonsgericht ab, dass die Vertretungsbefugnis auf natürliche Personen beschränkt ist. Diese Auslegung ist nachvollziehbar, aber keineswegs die Einzige, kann die Bestimmung doch auch ohne Weiteres so verstanden werden, dass auch eine juristische Person mit einer Parteivertretung vor Gericht beauftragt werden kann, sofern die für sie handelnde Person die Voraussetzungen von Art. 102 Abs. 2 StPO erfüllt.</w:t>
      </w:r>
    </w:p>
    <w:p>
      <w:r>
        <w:t>Der Ausschluss von juristischen Personen von der Parteivertretung ist damit keineswegs klar und eindeutig, weshalb die Beschwerdekammer nach dem unter b) Gesagten überspitzt formalistisch handelte, indem sie auf die von W. Kunz für die "W. Kunz, Inkassobüro Zürich GmbH" unterzeichnete Beschwerde nicht eintrat, ohne der Beschwerdeführerin zuvor eine kurze Nachfrist anzusetzen, um den Mangel zu beheben. Dies hätte entweder durch die Nachreichung einer von der Beschwerdeführerin oder von W. Kunz persön- lich unterzeichneten Beschwerde geschehen können, wobei Letzterer allenfalls den Nachweis zu erbringen hätte, dass er die persönlichen Voraussetzungen von Art. 102 Abs. 2 Satz 2 StPO erfüllt. Gerade weil das Gesetz auch Laien zur Parteivertretung zulässt, dürfen die Eintretensvoraussetzungen konsequenterweise nicht mit übermässiger Strenge gehandhabt werden, zumal das Verfahren durch die Ansetzung einer kurzen Nachfrist nur unwesentlich verzögert und das öffentliche Interesse an einer beförderlichen Verfahrensführung dementsprechend kaum beeinträchtigt wird. Die Rüge ist begründet.</w:t>
      </w:r>
    </w:p>
    <w:p>
      <w:r>
        <w:rPr>
          <w:b/>
        </w:rPr>
        <w:t>E. 3</w:t>
      </w:r>
    </w:p>
    <w:p>
      <w:r>
        <w:t>Die Beschwerde ist somit gutzuheissen, soweit darauf einzutreten ist, und der angefochtene Entscheid aufzuheben.</w:t>
      </w:r>
    </w:p>
    <w:p>
      <w:r>
        <w:t>Das Kantonsgericht wird der Beschwerdeführerin eine kurze Nachfrist zur Verbesserung ihrer Beschwerde einzuräumen und dann neu zu entscheiden haben.</w:t>
      </w:r>
    </w:p>
    <w:p>
      <w:r>
        <w:t>Bei diesem Ausgang des Verfahrens sind keine Kosten zu erheben ( Art. 156 Abs. 2 OG ). Hingegen hat der unterliegende Kanton Graubünden der Beschwerdeführerin eine angemessene Parteientschädigung zu bezahlen ( Art. 159 Abs. 1 und 2 OG ), womit das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