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1P.132/2002 vom 5. August 2002</w:t>
      </w:r>
    </w:p>
    <w:p>
      <w:r>
        <w:t>Bundesgericht, 2002-08-05, IT</w:t>
      </w:r>
    </w:p>
    <w:p>
      <w:r>
        <w:rPr>
          <w:b/>
        </w:rPr>
        <w:t xml:space="preserve">Quelle: </w:t>
      </w:r>
      <w:r>
        <w:t>https://mcp.opencaselaw.ch/entscheid/bger_1P.132_2002</w:t>
      </w:r>
    </w:p>
    <w:p>
      <w:r>
        <w:t>FR: TF 1P.132/2002 du 5 août 2002</w:t>
      </w:r>
    </w:p>
    <w:p>
      <w:r>
        <w:t>IT: TF 1P.132/2002 del 5 agosto 2002</w:t>
      </w:r>
    </w:p>
    <w:p>
      <w:pPr>
        <w:pStyle w:val="Heading2"/>
      </w:pPr>
      <w:r>
        <w:t>Regeste</w:t>
      </w:r>
    </w:p>
    <w:p>
      <w:r>
        <w:t>Espropriazione</w:t>
      </w:r>
    </w:p>
    <w:p>
      <w:pPr>
        <w:pStyle w:val="Heading2"/>
      </w:pPr>
      <w:r>
        <w:t>Erwägungen</w:t>
      </w:r>
    </w:p>
    <w:p>
      <w:r>
        <w:rPr>
          <w:b/>
        </w:rPr>
        <w:t>E. 4</w:t>
      </w:r>
    </w:p>
    <w:p>
      <w:r>
        <w:t>La ricorrente critica poi il giudizio impugnato laddove respinge una sua domanda di modifica dei piani volta a riunire in un'unica particella la superficie del fondo n. xxx non interessata dall'esproprio. Sostiene che la frazione restante, posta a sud dell'area espropriata, rimarrebbe difficilmente sfruttabile e che l'art. 102 della legge cantonale sul raggruppamento e la permuta dei terreni, del 23 novembre 1970 (LRPT), secondo cui, in occasione della costruzione di strade e di altri lavori, gli enti pubblici, per il cui conto le opere vengono eseguite, sono tenuti a sistemare i fondi delle zone interessate mediante raggruppamento, rettifica dei confini, permuta o espropriazione degli scorpori, imporrebbe in concreto la riunione delle frazioni restanti in un'unica particella. Inoltre, sempre secondo la ricorrente, l'eventuale ampliamento dell'espropriazione prospettata dal Comune, e ripresa dalla Corte cantonale nel giudizio impugnato, sarebbe lesiva del principio della proporzionalità. Ora, premesso che l'applicabilità dell'art. 102 LRPT in un caso come il presente appare invero dubbia, la censura di una pretesa violazione della citata disposizione cantonale non è stata esaminata dal Tribunale cantonale amministrativo, al quale non è stata sottoposta: presentata in questa sede, essa difetta quindi dell'esaurimento delle istanze cantonali ( art. 86 cpv. 1 OG ). Né, d'altra parte, la ricorrente fa valere - con una motivazione conforme all' art. 90 cpv. 1 lett. b OG - un'asserita applicazione arbitraria della norma. Comunque, l'ubicazione e la delimitazione dei confini della zona d'interesse pubblico sono state fissate dal piano regolatore che, come visto, la ricorrente non può più criticare nell'ambito della procedura espropriativa (cfr. sopra consid. 3.2.1) e del resto, come ha rettamente rilevato la Corte cantonale, la questione del preteso deprezzamento della parte residua dovrà ancora, se del caso, essere discussa e esaminata nell'ambito del giudizio sull'indennità ( art. 6 e art. 11 lett. b LEspr /TI).</w:t>
      </w:r>
    </w:p>
    <w:p>
      <w:r>
        <w:rPr>
          <w:b/>
        </w:rPr>
        <w:t>E. 5</w:t>
      </w:r>
    </w:p>
    <w:p>
      <w:r>
        <w:t>Ne segue che il ricorso, nella misura in cui è ammissibile, deve essere respinto. Le spese seguono la soccombenza ( art. 156 cpv. 1 OG ). Al Comune di Sementina, che non dispone di un proprio servizio giuridico, vanno riconosciute le ripetibili della sede federale, da porsi a carico della ricorrente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