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1P.127/2006 vom 5. April 2006</w:t>
      </w:r>
    </w:p>
    <w:p>
      <w:r>
        <w:t>Bundesgericht, 2006-04-05, FR</w:t>
      </w:r>
    </w:p>
    <w:p>
      <w:r>
        <w:rPr>
          <w:b/>
        </w:rPr>
        <w:t xml:space="preserve">Quelle: </w:t>
      </w:r>
      <w:r>
        <w:t>https://mcp.opencaselaw.ch/entscheid/bger_1P.127_2006</w:t>
      </w:r>
    </w:p>
    <w:p>
      <w:r>
        <w:t>FR: TF 1P.127/2006 du 5 avril 2006</w:t>
      </w:r>
    </w:p>
    <w:p>
      <w:r>
        <w:t>IT: TF 1P.127/2006 del 5 aprile 2006</w:t>
      </w:r>
    </w:p>
    <w:p>
      <w:pPr>
        <w:pStyle w:val="Heading2"/>
      </w:pPr>
      <w:r>
        <w:t>Erwägungen</w:t>
      </w:r>
    </w:p>
    <w:p>
      <w:r>
        <w:rPr>
          <w:b/>
        </w:rPr>
        <w:t>E. 1</w:t>
      </w:r>
    </w:p>
    <w:p>
      <w:r>
        <w:t>Le Tribunal fédéral peut traiter selon une procédure simplifiée les recours manifestement irrecevables ou infondés ( art. 36a al. 1 let. a et b OJ ). L'arrêt est alors sommairement motivé ( art. 36a al. 3 OJ ).</w:t>
      </w:r>
    </w:p>
    <w:p>
      <w:r>
        <w:rPr>
          <w:b/>
        </w:rPr>
        <w:t>E. 2</w:t>
      </w:r>
    </w:p>
    <w:p>
      <w:r>
        <w:t>Les recourants se plaignent d'anomalies contraires au droit d'être entendu parce qu'ils auraient été privés de la possibilité de compléter leur recours au Tribunal cantonal. Ce grief est manifestement mal fondé. On ne saurait en effet voir une violation des règles de procédure lors de la notification de l'acte du 5 octobre 2005, par lequel un délai était imparti aux recourants pour produire un mémoire. Vu le mode de notification choisi, l'envoi devait être considéré comme non distribuable par la poste, puisque non retiré par les destinataires, et le Tribunal cantonal n'était pas tenu, en vertu de la garantie constitutionnelle du droit d'être entendu ( art. 29 al. 2 Cst. ), d'interpeller encore d'une autre manière les recourants après l'échéance du délai fixé. Dans le cas particulier, la Chambre des recours est du reste entrée en matière sur le recours, nonobstant l'absence de mémoire complétif.</w:t>
      </w:r>
    </w:p>
    <w:p>
      <w:r>
        <w:rPr>
          <w:b/>
        </w:rPr>
        <w:t>E. 3</w:t>
      </w:r>
    </w:p>
    <w:p>
      <w:r>
        <w:t>Les recourants invoquent par ailleurs le droit d'être entendu, selon l' art. 29 al. 2 Cst. , en relation avec la jurisprudence qui garantit, sur la base de cette disposition, le droit de consulter le dossier d'une affaire liquidée (cf. ATF 129 I 249 , cité dans l'arrêt attaqué). L'argumentation des recourants sur ce point est des plus sommaires, et il est douteux qu'elle satisfasse aux exigences de motivation prévues, pour le recours de droit public, à l' art. 90 al. 1 let. b OJ (disposition aux termes de laquelle l'acte de recours doit contenir un exposé des faits essentiels et un exposé succinct des droits constitutionnels ou des principes juridiques violés, précisant en quoi consiste la violation; cf. ATF 129 I 185 consid. 1.6 p. 189; 127 III 279 consid. 1c p. 282; 126 III 534 consid. 1b p. 536; 125 I 71 consid. 1c p. 76). Cette question de recevabilité peut demeurer indécise. Quoi qu'il en soit en effet, l' art. 29 al. 2 Cst. ne saurait être invoqué avec succès par celui qui ne demande pas à consulter un dossier précis, dans une affaire bien déterminée, mais qui requiert d'une autorité qu'elle recherche d'éventuelles informations le concernant, sans fournir d'indications concrètes au sujet de la ou des procédures concernées. Or tel est bien le sens de la démarche des recourants, en l'espèce. Ce grief est donc mal fondé.</w:t>
      </w:r>
    </w:p>
    <w:p>
      <w:r>
        <w:rPr>
          <w:b/>
        </w:rPr>
        <w:t>E. 4</w:t>
      </w:r>
    </w:p>
    <w:p>
      <w:r>
        <w:t>Pour le reste, les recourants ne critiquent que de manière inconsistante les considérants de la Chambre des recours à propos des conditions fixées par la loi cantonale pour obtenir des informations de la part d'organes étatiques. Ils ne cherchent pas à démontrer que l' art. 16 al. 2 let . c LInfo aurait été appliqué de manière inconstitutionnelle. Ce dernier grief, insuffisamment clair et précis, est irrecevable au regard de l' art. 90 al. 1 let. b OJ .</w:t>
      </w:r>
    </w:p>
    <w:p>
      <w:r>
        <w:rPr>
          <w:b/>
        </w:rPr>
        <w:t>E. 5</w:t>
      </w:r>
    </w:p>
    <w:p>
      <w:r>
        <w:t>Il s'ensuit que le recours de droit public doit être rejeté, dans la mesure où il est recevable. Il paraissait d'emblée voué à l'échec, ce qui justifie le rejet de la requête d'assistance judiciaire, conformément à l' art. 152 al. 1 OJ . Un émolument judiciaire doit être mis à la charge des recourants, qui succombent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