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1P.120/2005 vom 15. Februar 2006</w:t>
      </w:r>
    </w:p>
    <w:p>
      <w:r>
        <w:t>Bundesgericht, 2006-02-15, FR</w:t>
      </w:r>
    </w:p>
    <w:p>
      <w:r>
        <w:rPr>
          <w:b/>
        </w:rPr>
        <w:t xml:space="preserve">Quelle: </w:t>
      </w:r>
      <w:r>
        <w:t>https://mcp.opencaselaw.ch/entscheid/bger_1P.120_2005</w:t>
      </w:r>
    </w:p>
    <w:p>
      <w:r>
        <w:t>FR: TF 1P.120/2005 du 15 février 2006</w:t>
      </w:r>
    </w:p>
    <w:p>
      <w:r>
        <w:t>IT: TF 1P.120/2005 del 15 febbraio 2006</w:t>
      </w:r>
    </w:p>
    <w:p>
      <w:pPr>
        <w:pStyle w:val="Heading2"/>
      </w:pPr>
      <w:r>
        <w:t>Regeste</w:t>
      </w:r>
    </w:p>
    <w:p>
      <w:r>
        <w:t>art. 9 Cst. (répartition des frais, indemnité) | Procédure administrative</w:t>
      </w:r>
    </w:p>
    <w:p>
      <w:pPr>
        <w:pStyle w:val="Heading2"/>
      </w:pPr>
      <w:r>
        <w:t>Erwägungen</w:t>
      </w:r>
    </w:p>
    <w:p>
      <w:r>
        <w:rPr>
          <w:b/>
        </w:rPr>
        <w:t>E. 1</w:t>
      </w:r>
    </w:p>
    <w:p>
      <w:r>
        <w:t>Le Tribunal fédéral examine d'office et librement la recevabilité des recours qui lui sont soumis ( ATF 131 II 571 consid. 1 p. 573; 130 I 312 consid. 1 p. 317 et les arrêts cités). En procédure administrative fribourgeoise, la fixation du montant des frais de procédure, de l'indemnité de partie ou de l'indemnité allouée au défenseur désigné peut faire l'objet d'une réclamation auprès de l'autorité qui a statué, lorsque seule cette partie de la décision est contestée (art. 148 al. 1 du code cantonal de procédure et de juridiction administrative du 23 mai 1991 [CPJA; RS 150.1]). Il en va différemment de la répartition des frais et des indemnités de parties, qui ne peut être contestée par la voie de la réclamation (cf. RFJ 1993 p. 410, consid. 2b p. 412; Christian Pfammatter, L'indemnité de partie devant le Tribunal administratif fribourgeois, in RFJ 1993 p. 133). La décision attaquée a donc été rendue en dernière instance cantonale concernant ce dernier aspect ( art. 86 al. 1 OJ ). Pour le reste, les exigences des art. 88 ss OJ sont satisfaites, de sorte qu'il y a lieu d'entrer en matière.</w:t>
      </w:r>
    </w:p>
    <w:p>
      <w:r>
        <w:rPr>
          <w:b/>
        </w:rPr>
        <w:t>E. 2</w:t>
      </w:r>
    </w:p>
    <w:p>
      <w:r>
        <w:t>Le recourant se plaint d'une constatation arbitraire des faits pertinents et d'une application arbitraire de dispositions cantonales relatives aux frais de procédure (art. 131 et 132 CPJA) et aux indemnités de parties (art. 138 al. 2 et 141 CPJA). L'autorité attaquée aurait retenu de façon arbitraire que les intimés avaient obtenu entièrement gain de cause; la majorité des griefs soulevés par ceux-ci seraient irrecevables et bon nombre des arguments présentés seraient dénués de pertinence. De plus, les intimés auraient "délibérément amplifié la procédure sans nécessité" par leurs allégués inutiles, ce qui aurait provoqué un deuxième échange d'écritures superflu. Selon le recourant, ces éléments auraient dû amener l'autorité attaquée à procéder à une répartition des frais et des indemnités de partie conformément aux dispositions précitées.</w:t>
      </w:r>
    </w:p>
    <w:p>
      <w:r>
        <w:rPr>
          <w:b/>
        </w:rPr>
        <w:t>E. 2.1</w:t>
      </w:r>
    </w:p>
    <w:p>
      <w:r>
        <w:t>Selon la jurisprudence, 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131 I 57 consid. 2 p. 61; 129 I 173 consid. 3.1 p. 178; 128 I 273 consid. 2.1 p. 275). En matière d'appréciation des preuves, il y a arbitraire lorsque l'autorité ne prend pas en compte, sans raison sérieuse, un élément de preuve propre à modifier la décision ou lorsqu'elle tire des constatations insoutenables des éléments recueillis ( ATF 127 I 38 consid. 2a p. 41).</w:t>
      </w:r>
    </w:p>
    <w:p>
      <w:r>
        <w:rPr>
          <w:b/>
        </w:rPr>
        <w:t>E. 2.2</w:t>
      </w:r>
    </w:p>
    <w:p>
      <w:r>
        <w:t>En droit fribourgeois, la question des frais de procédure de recours et d'action en matière administrative est réglée aux art. 131 et 132 CPJA. Aux termes de ces dispositions, la partie qui succombe supporte les frais de procédure; si elle n'est que partiellement déboutée, les frais sont réduits en proportion (art. 131 al. 1 CPJA). Des frais peuvent être mis à la charge de la partie qui obtient gain de cause si elle les a occasionnés sans nécessité, par sa faute ou en violation des règles de procédure (art. 131 al. 2 CPJA). Lorsque plusieurs parties à la procédure succombent, les frais sont répartis entre elles, compte tenu de leur intérêt à la procédure et du sort fait à leurs conclusions (art. 132 al. 1 CPJA). Quant à l'indemnité de partie, elle est mise à la charge de la ou des parties qui succombent; lorsque plusieurs parties sont tenues au paiement de l'indemnité, la répartition s'opère conformément à l'art. 132, applicable par analogie (art. 141 al. 1 CPJA). Enfin, lorsqu'une partie n'obtient que partiellement gain de cause, l'indemnité est réduite en proportion (art. 138 al. 2 CPJA). Pour déterminer si une partie obtient gain de cause ou si elle succombe, il convient de comparer ses conclusions avec la solution qui a été concrètement apportée au litige. Il n'est pas nécessaire que le dispositif de l'arrêt corresponde formellement aux conclusions prises par une partie pour considérer que celle-ci a obtenu gain de cause; il suffit que, matériellement, la partie ait obtenu ce qu'elle voulait. Il y a donc lieu d'apprécier l'issue du litige dans son ensemble et de tenir compte de l'intérêt des parties à la procédure et du sort fait à leurs conclusions (cf. Christian Pfammatter , op. cit, p. 125; Etienne Poltier, La juridiction administrative vaudoise deux ans après l'entrée en fonction du Tribunal administratif, in RDAF 1994 p. 241, p. 267 s.).</w:t>
      </w:r>
    </w:p>
    <w:p>
      <w:r>
        <w:rPr>
          <w:b/>
        </w:rPr>
        <w:t>E. 2.3</w:t>
      </w:r>
    </w:p>
    <w:p>
      <w:r>
        <w:t>En l'espèce, le litige portait sur la surélévation de la porcherie du recourant, autorisée le 14 avril 2003 par le Préfet du district de la Broye. Dans leur recours du 23 décembre 2003 auprès du Tribunal administratif, les intimés ont conclu à l'annulation de cette décision et au renvoi de la cause au Préfet. Le recourant a conclu à l'irrecevabilité de ce recours, subsidiairement à son rejet. Dans la mesure où le Tribunal administratif a admis le recours, annulé la décision attaquée et renvoyé la cause au Préfet, il y a lieu de constater que les intimés ont obtenu entièrement gain de cause devant cette instance. Peu importe à cet égard que leurs griefs n'aient pas tous été pris en considération, puisqu'ils ont obtenu ce qu'ils voulaient et que leurs conclusions ont été admises intégralement. C'est donc sans arbitraire que l'autorité attaquée a considéré que le recourant a succombé devant elle. Il est vrai que le recours déposé par les intimés le 23 décembre 2003 comportait un certain nombre de considérations qui n'étaient pas directement pertinentes pour l'issue du litige. Quant aux "contre-observations" du 29 avril 2004, elles n'ont que peu de rapport avec la surélévation litigieuse. Cela ne suffit toutefois pas pour retenir que les intimés ont occasionné des frais sans nécessité, par leur faute ou en violation des règles de procédure (art. 131 al. 2 CPJA). En effet, si la cause a pris une ampleur exagérée, la responsabilité ne saurait en être imputée exclusivement aux intimés. Les contre-observations du 29 avril 2004, dont le contenu apparaît peu pertinent, ont par exemple été suscitées, au moins en partie, par la détermination du préfet et par le long mémoire d'observations déposé par le recourant. A cet égard, ce dernier ne saurait être suivi lorsqu'il affirme avoir été "contraint de déposer des écritures importantes"; assisté d'un mandataire professionnel, il était en mesure de circonscrire l'objet du litige et de s'en tenir à ce cadre. On comprend donc mal qu'il se soit déterminé de manière détaillée sur des éléments qui lui paraissaient sans rapport avec l'objet de la procédure, alors qu'il lui aurait suffi de mentionner que ces points étaient irrelevants. Ainsi, dans la mesure où le recourant considérait que seuls cinq allégués sur quarante-cinq étaient pertinents, la nécessité de déposer un mémoire d'observations de trente-cinq pages n'était pas manifeste. Quoi qu'il en soit, on ne voit pas quels frais significatifs auraient été occasionnés par des développements "hors-sujet" des intimés, puisque le Tribunal administratif a limité son examen aux seuls éléments pertinents. Dans ces circonstances, l'autorité attaquée n'a pas fait preuve d'arbitraire en renonçant à appliquer l'art. 131 al. 2 CPJA.</w:t>
      </w:r>
    </w:p>
    <w:p>
      <w:r>
        <w:rPr>
          <w:b/>
        </w:rPr>
        <w:t>E. 3</w:t>
      </w:r>
    </w:p>
    <w:p>
      <w:r>
        <w:t>Il s'ensuit que le recours de droit public doit être rejeté. Le recourant, qui succombe, doit supporter les frais de la présente procédure ( art. 153, 153a et 156 al. 1 OJ ). Les intimés, qui se sont déterminés, ont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