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1P.120/2004 vom 22. April 2004</w:t>
      </w:r>
    </w:p>
    <w:p>
      <w:r>
        <w:t>Bundesgericht, 2004-04-22, FR</w:t>
      </w:r>
    </w:p>
    <w:p>
      <w:r>
        <w:rPr>
          <w:b/>
        </w:rPr>
        <w:t xml:space="preserve">Quelle: </w:t>
      </w:r>
      <w:r>
        <w:t>https://mcp.opencaselaw.ch/entscheid/bger_1P.120_2004</w:t>
      </w:r>
    </w:p>
    <w:p>
      <w:r>
        <w:t>FR: TF 1P.120/2004 du 22 avril 2004</w:t>
      </w:r>
    </w:p>
    <w:p>
      <w:r>
        <w:t>IT: TF 1P.120/2004 del 22 aprile 2004</w:t>
      </w:r>
    </w:p>
    <w:p>
      <w:pPr>
        <w:pStyle w:val="Heading2"/>
      </w:pPr>
      <w:r>
        <w:t>Regeste</w:t>
      </w:r>
    </w:p>
    <w:p>
      <w:r>
        <w:t>Procédure pénale</w:t>
      </w:r>
    </w:p>
    <w:p>
      <w:pPr>
        <w:pStyle w:val="Heading2"/>
      </w:pPr>
      <w:r>
        <w:t>Erwägungen</w:t>
      </w:r>
    </w:p>
    <w:p>
      <w:r>
        <w:rPr>
          <w:b/>
        </w:rPr>
        <w:t>E. 1</w:t>
      </w:r>
    </w:p>
    <w:p>
      <w:r>
        <w:t>Le recours de droit public est formé en temps utile contre un arrêt rendu en dernière instance cantonale, confirmant le refus de lever un séquestre pénal conservatoire. Comme le relève le recourant, la mesure attaquée est incidente: elle porte sur le maintien d'une mesure provisoire et ne met pas un terme à la procédure pénale dans le cadre de laquelle elle a été prononcée. Il y a lieu de s'interroger sur l'existence d'un préjudice irréparable au sens de l' art. 87 al. 2 OJ , ainsi que sur l'intérêt juridique du recourant ( art. 88 OJ ).</w:t>
      </w:r>
    </w:p>
    <w:p>
      <w:r>
        <w:rPr>
          <w:b/>
        </w:rPr>
        <w:t>E. 1.1</w:t>
      </w:r>
    </w:p>
    <w:p>
      <w:r>
        <w:t>Selon la jurisprudence relative à la première disposition, une mesure de séquestre engendre généralement un préjudice irréparable, en particulier lorsqu'elle porte sur des valeurs patrimoniales; l'atteinte au patrimoine de l'intéressé, temporairement privé de la disposition des objets ou avoirs séquestrés, n'est pas susceptible d'être réparée par une décision ultérieure favorable ( ATF 126 I 97 consid. 1b p. 100 et les arrêts cités; 82 I 145 consid. 1 p. 148). Par ailleurs, selon l' art. 88 OJ , le recourant doit disposer d'un intérêt juridique à l'annulation de la décision attaquée, un intérêt de pur fait étant insuffisant.</w:t>
      </w:r>
    </w:p>
    <w:p>
      <w:r>
        <w:rPr>
          <w:b/>
        </w:rPr>
        <w:t>E. 1.2</w:t>
      </w:r>
    </w:p>
    <w:p>
      <w:r>
        <w:t>En l'espèce, il ressort du dossier que ce n'est pas le recourant qui est propriétaire de la parcelle saisie, mais la société A.________, laquelle avait d'ailleurs déjà recouru contre la mesure similaire ordonnée en Valais. Selon l'extrait du Registre du Commerce genevois, cette société est actuellement en liquidation. Le recourant est certes désigné comme liquidateur de la société; toutefois, le recours est formé à titre personnel, le recourant ne prétendant nullement agir pour le compte ou dans l'intérêt de la société. Dans ces circonstances, le recourant ne dispose, en tant qu'inculpé, que d'un intérêt de fait pour recourir contre le maintien du séquestre ce qui apparaît insuffisant au regard des art. 87 et 88 OJ . Le recourant n'indique pas en quoi le maintien du séquestre porterait atteinte à des propres intérêts juridiques.</w:t>
      </w:r>
    </w:p>
    <w:p>
      <w:r>
        <w:rPr>
          <w:b/>
        </w:rPr>
        <w:t>E. 2</w:t>
      </w:r>
    </w:p>
    <w:p>
      <w:r>
        <w:t>Le recours de droit public est par conséquent manifestement irrecevable. Cette issue évidente entraîne également le rejet de la demande d'assistance judiciaire. Un émolument judiciaire est mis à la charge du recourant ( art. 156 al. 1 OJ ). Celui-ci est en outre tenu de verser à l'intimée une indemnité de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