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1P.120/2003 vom 28. April 2003</w:t>
      </w:r>
    </w:p>
    <w:p>
      <w:r>
        <w:t>Bundesgericht, 2003-04-28, FR</w:t>
      </w:r>
    </w:p>
    <w:p>
      <w:r>
        <w:rPr>
          <w:b/>
        </w:rPr>
        <w:t xml:space="preserve">Quelle: </w:t>
      </w:r>
      <w:r>
        <w:t>https://mcp.opencaselaw.ch/entscheid/bger_1P.120_2003</w:t>
      </w:r>
    </w:p>
    <w:p>
      <w:r>
        <w:t>FR: TF 1P.120/2003 du 28 avril 2003</w:t>
      </w:r>
    </w:p>
    <w:p>
      <w:r>
        <w:t>IT: TF 1P.120/2003 del 28 aprile 2003</w:t>
      </w:r>
    </w:p>
    <w:p>
      <w:pPr>
        <w:pStyle w:val="Heading2"/>
      </w:pPr>
      <w:r>
        <w:t>Regeste</w:t>
      </w:r>
    </w:p>
    <w:p>
      <w:r>
        <w:t>Procédure pénale</w:t>
      </w:r>
    </w:p>
    <w:p>
      <w:pPr>
        <w:pStyle w:val="Heading2"/>
      </w:pPr>
      <w:r>
        <w:t>Erwägungen</w:t>
      </w:r>
    </w:p>
    <w:p>
      <w:r>
        <w:rPr>
          <w:b/>
        </w:rPr>
        <w:t>E. 1</w:t>
      </w:r>
    </w:p>
    <w:p>
      <w:r>
        <w:t>Les recourants contestent la possibilité d'une confiscation à titre de créance compensatrice. Ils admettent, avec la Chambre d'accusation, que la question de savoir s'ils ignoraient la provenance illicite des fonds ne pourra être résolue qu'à la fin de l'enquête. En revanche, il serait d'ores et déjà établi que l'argent versé n'est plus en leurs mains, et qu'ils n'ont retiré aucun avantage illicite de l'opération litigieuse. Les versements opérés par O.________ seraient de 4,62 millions d'US$ (et non de 5,8 comme mentionné par erreur tout au long de la procédure), et 5,2 millions d'US$ lui auraient été reversés sous forme de dividendes, d'abattement puis de rachat d'actions. G.________ ne se serait par conséquent pas enrichie, ce qui exclurait toute créance compensatrice.</w:t>
      </w:r>
    </w:p>
    <w:p>
      <w:r>
        <w:rPr>
          <w:b/>
        </w:rPr>
        <w:t>E. 1.1</w:t>
      </w:r>
    </w:p>
    <w:p>
      <w:r>
        <w:t>Le séquestre en vue de l'exécution d'une créance compensatrice a pour but d'éviter que celui qui a disposé des objets ou valeurs à confisquer soit privilégié par rapport à celui qui les a conservés ( ATF 123 IV 70 consid. 3 p. 74; 119 IV 17 consid. 2a p. 20).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 art. 59 ch. 2 al. 1 CP ). La créance compensatrice ne joue qu'un rôle de substitution de la confiscation en nature et ne doit donc, par rapport à celle-ci, causer ni avantage ni inconvénient ( ATF 124 I 6 consid. 4b/bb p. 9, 123 IV 70 consid. 3 p. 74).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L'autorité d'instruction pourra placer sous séquestre, en vue de l'exécution d'une telle créance, des éléments du patrimoine de la personne concernée (art. 59 ch. 2 al. 3, 1ère phrase, CP).</w:t>
      </w:r>
    </w:p>
    <w:p>
      <w:r>
        <w:rPr>
          <w:b/>
        </w:rPr>
        <w:t>E. 1.2</w:t>
      </w:r>
    </w:p>
    <w:p>
      <w:r>
        <w:t>L'argument des recourants consiste en définitive à affirmer que la créance compensatrice ne pourrait viser que le bénéfice net de l'opération illicite. Tel n'est toutefois pas le cas: la jurisprudence, appliquant - avec certaines exceptions - le principe des recettes brutes (sans tenir compte des frais d'acquisition des valeurs litigieuses; ATF 124 IV 6 ), permet notamment d'étendre la créance compensatrice au chiffre d'affaire total lorsque l'opération illicite porte sur une chose dont le commerce et la détention constituent en soi une infraction, l'objet d'une telle infraction pouvant en tout temps être confisqué sans aucune contrepartie ( ATF 119 IV 17 s'agissant de produits stupéfiants; cf. aussi ATF 123 IV 70 ). Il peut en aller de même à l'égard de valeurs patrimoniales provenant d'un crime, dont l'entrave à la confiscation est réprimée à l' art. 305bis CP . Par ailleurs, si, comme le soupçonnent les autorités de poursuite, l'opération de vente, puis de rachat des actions G.________ constitue en réalité du blanchissage d'argent déguisé, il se pourrait que l'intervention des recourants ait été rémunérée par d'autres canaux. L'existence d'un bénéfice ne peut donc pas être exclue à ce stade.</w:t>
      </w:r>
    </w:p>
    <w:p>
      <w:r>
        <w:rPr>
          <w:b/>
        </w:rPr>
        <w:t>E. 2</w:t>
      </w:r>
    </w:p>
    <w:p>
      <w:r>
        <w:t>La cour cantonale pouvait dès lors sans arbitraire estimer qu'il existe, à ce stade, la possibilité d'une confiscation à titre de créance compensatrice. Le recours doit par conséquent être rejeté, aux frais de ses auteurs ( art. 156 al. 1 OJ ). Une indemnité de dépens est allouée aux intimés qui ont procédé, et mise à la charge solidaire des recourants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