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1P.120/2002 vom 18. April 2002</w:t>
      </w:r>
    </w:p>
    <w:p>
      <w:r>
        <w:t>Bundesgericht, 2002-04-18, DE</w:t>
      </w:r>
    </w:p>
    <w:p>
      <w:r>
        <w:rPr>
          <w:b/>
        </w:rPr>
        <w:t xml:space="preserve">Quelle: </w:t>
      </w:r>
      <w:r>
        <w:t>https://mcp.opencaselaw.ch/entscheid/bger_1P.120_2002</w:t>
      </w:r>
    </w:p>
    <w:p>
      <w:r>
        <w:t>FR: TF 1P.120/2002 du 18 avril 2002</w:t>
      </w:r>
    </w:p>
    <w:p>
      <w:r>
        <w:t>IT: TF 1P.120/2002 del 18 aprile 2002</w:t>
      </w:r>
    </w:p>
    <w:p>
      <w:pPr>
        <w:pStyle w:val="Heading2"/>
      </w:pPr>
      <w:r>
        <w:t>Regeste</w:t>
      </w:r>
    </w:p>
    <w:p>
      <w:r>
        <w:t>Strafprozess</w:t>
      </w:r>
    </w:p>
    <w:p>
      <w:pPr>
        <w:pStyle w:val="Heading2"/>
      </w:pPr>
      <w:r>
        <w:t>Erwägungen</w:t>
      </w:r>
    </w:p>
    <w:p>
      <w:r>
        <w:rPr>
          <w:b/>
        </w:rPr>
        <w:t>E. 1</w:t>
      </w:r>
    </w:p>
    <w:p>
      <w:r>
        <w:t>Nach der Rechtsprechung des Bundesgerichts zu Art. 88 OG muss ein Beschwerdeführer grundsätzlich ein aktuelles praktisches Interesse an der Aufhebung des angefochtenen Entscheids bzw. an der Überprüfung der erhobenen Rügen haben; dieses Rechtsschutzinteresse muss auch noch im Zeitpunkt der Urteilsfällung vorliegen ( BGE 125 I 394 E. 4a S. 397; 120 Ia 165 E. 1a). Ein aktuelles Rechtsschutzinteresse fehlt insbesondere dann, wenn der Nachteil auch bei Gutheissung der Beschwerde nicht mehr behoben werden könnte ( BGE 125 II 86 E. 5a S. 96; 118 Ia 488 E. 1a). Vom Erfordernis des aktuellen praktischen Interesses wird allerdings dann abgesehen, wenn sich die aufgeworfene Frage jederzeit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127 I 164 E. 1a S. 166 ; 125 I 394 E. 4b S. 397 mit Hinweisen). An diesen Voraussetzungen fehlt es bei der Mehrzahl der Beschwerden, mit denen die Verfassungs- und Konventionswidrigkeit der Anordnung oder Erstreckung einer inzwischen dahingefallenen Untersuchungshaft gerügt wird. Die damit aufgeworfenen Fragen können sich in der Regel nicht mehr unter gleichen oder ähnlichen Umständen stellen. Vielmehr ist das Vorliegen von Haftgründen im Einzelfall zu prüfen. Das Bundesgericht ist demnach auch nur ganz ausnahmsweise auf Beschwerden eingetreten, bei welchen das aktuelle praktische Interesse an der Haftprüfung dahingefallen war ( BGE 125 I 394 E. 4b S. 397 f. mit Hinweisen). Im vorliegenden Fall wurde in erster Linie die Weiterführung der Untersuchungshaft wegen Wiederholungsgefahr beanstandet. Es stellen sich dabei keine Fragen von grundsätzlicher Bedeutung, die sofort höchstrichterlich beantwortet werden müssten. Es steht vielmehr der Einzelfall im Vordergrund mit den Fragen, ob die Weiterführung der Haft im Einzelnen gerechtfertigt war und vor der Verfassung und der Menschenrechtskonvention standhielt. Entsprechende Fragen können sich bei jeder Haftanordnung stellen und lassen sich im Normalfall durch Haftbeschwerden bei den kantonalen Instanzen gerichtlich beurteilen. Das Verfahren ist somit nach Art. 40 OG in Verbindung mit Art. 72 BZP wegen des nachträglichen Wegfalls des Rechtsschutzinteresses als erledigt abzuschreiben (vgl. BGE 118 Ia 488 E. 1a S. 490 und E. 3c S. 494).</w:t>
      </w:r>
    </w:p>
    <w:p>
      <w:r>
        <w:rPr>
          <w:b/>
        </w:rPr>
        <w:t>E. 2</w:t>
      </w:r>
    </w:p>
    <w:p>
      <w:r>
        <w:t>Art. 72 BZP bestimmt, dass bei diesem Verfahrensausgang über die Prozesskosten mit summarischer Begründung auf Grund der Sachlage vor Eintritt des Erledigungsgrundes zu entscheiden ist. Bei der Beurteilung der Kosten- und Entschädigungsfolgen ist somit in erster Linie auf den mutmasslichen Ausgang des Verfahrens abzustellen. Lässt sich dieser im konkreten Fall nicht feststellen, so sind allgemeine prozessrechtliche Kriterien heranzuziehen: Danach wird jene Partei kosten- und entschädigungspflichtig, welche das gegenstandslos gewordene Verfahren veranlasst hat oder bei welcher die Gründe eingetreten sind, die dazu geführt haben, dass der Prozess gegenstandslos geworden ist. Die Regelung bezweckt, denjenigen, der in guten Treuen Beschwerde erhoben hat, nicht im Kostenpunkt dafür zu bestrafen, dass die Beschwerde infolge nachträglicher Änderung der Umstände abzuschreiben ist, ohne dass ihm dies anzulasten wäre ( BGE 118 Ib 488 E. 4a S. 494 f.). Eine summarische Prüfung der Lage vor dem Hinfall des aktuellen Rechtsschutzinteresses ergibt Folgendes: Im angefochtenen Entscheid des Einzelrichters vom 26. Februar 2002 wird die Aufrechterhaltung der Untersuchungshaft mit dem Vorliegen von Wiederholungsgefahr begründet. Die vom Beschwerdeführer verlangten weniger einschneidenden Massnahmen wie eine Rayonsperre oder eine Kautionsleistung werden abgelehnt, da sie nicht geeignet seien, den Beschwerdeführer angesichts seines bisherigen Verhaltens von weiteren Delikten abzuhalten. Die Beschwerdeerhebung beim Bundesgericht erfolgte am 28. Februar 2002. Am 2. März 2002 wurde der Beschwerdeführer aus der Haft entlassen, ohne dass ersichtlich wäre, dass sich die rechtserheblichen Verhältnisse in Bezug auf den Haftgrund der Wiederholungsgefahr seit der Verfügung des Haftrichters vom 26. Februar 2002 verändert hätten. Bereits daraus ergibt sich, dass der Beschwerdeführer begründeten Anlass zur Erhebung der staatsrechtlichen Beschwerde hatte, und es ist anzunehmen, dass die Beschwerde erfolgreich gewesen wäre. Unter diesen Umständen ist es gerechtfertigt, den Kanton Zürich zu verpflichten, dem Beschwerdeführer eine angemessene Parteientschädigung auszurichten, welche auch dem Umstand Rechnung trägt, dass der kantonale Kostenentscheid im bundesgerichtlichen Abschreibungsbeschluss nicht abgeändert werden kann ( Art. 157 und 159 OG ; Urteil des Bundesgerichts 5P.467/2000 vom 13. März 2001 E. 2b und 3b). Zum selben Ergebnis führt die Tatsache, dass die Gründe, die zur Gegenstandslosigkeit des Verfahrens geführt haben, von den kantonalen Behörden verursacht wurden. Indessen besteht im vorliegenden Verfahren kein Anlass, von der Regel, wonach Bund, Kantonen und Gemeinden, die in ihrem amtlichen Wirkungskreis handeln, keine Gerichtskosten auferlegt werden, abzuweichen. Auf die Erhebung einer Gerichtsgebühr wird deshalb verzichtet ( Art. 156 Abs. 2 OG ). Mit dieser Kostenregelung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