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1P.117/2001 vom 1. Juni 2001</w:t>
      </w:r>
    </w:p>
    <w:p>
      <w:r>
        <w:t>Bundesgericht, 2001-06-01, DE</w:t>
      </w:r>
    </w:p>
    <w:p>
      <w:r>
        <w:rPr>
          <w:b/>
        </w:rPr>
        <w:t xml:space="preserve">Quelle: </w:t>
      </w:r>
      <w:r>
        <w:t>https://mcp.opencaselaw.ch/entscheid/bger_1P.117_2001</w:t>
      </w:r>
    </w:p>
    <w:p>
      <w:r>
        <w:t>FR: TF 1P.117/2001 du 1 juin 2001</w:t>
      </w:r>
    </w:p>
    <w:p>
      <w:r>
        <w:t>IT: TF 1P.117/2001 del 1 giugno 2001</w:t>
      </w:r>
    </w:p>
    <w:p>
      <w:pPr>
        <w:pStyle w:val="Heading2"/>
      </w:pPr>
      <w:r>
        <w:t>Erwägungen</w:t>
      </w:r>
    </w:p>
    <w:p>
      <w:r>
        <w:rPr>
          <w:b/>
        </w:rPr>
        <w:t>E. 1</w:t>
      </w:r>
    </w:p>
    <w:p>
      <w:r>
        <w:t>Auf Stimmrechtsbeschwerde nach Art. 85 lit. a OG hin beurteilt das Bundesgericht Beschwerden betreffend die politische Stimmberechtigung der Bürger in kantonalen Wahlen und Abstimmungen. Als kantonal gelten auch Wahlen und Abstimmungen in Gemeinden ( BGE 119 Ia 167 E. 1a). Der angefochtene Entscheid des Verwaltungsgerichts ist kantonal letztinstanzlich. Die Beschwerdeführer sind in der Gemeinde Samnaun stimmberechtigt und daher zur Erhebung der Stimmrechtsbeschwerde ohne weiteres legitimiert ( BGE 118 Ia 184 E. 1b; 116 Ia 359 E. 3a). Da diese und die übrigen Sachurteilsvoraussetzungen erfüllt sind, ist auf die Beschwerde einzutreten.</w:t>
      </w:r>
    </w:p>
    <w:p>
      <w:r>
        <w:rPr>
          <w:b/>
        </w:rPr>
        <w:t>E. 2</w:t>
      </w:r>
    </w:p>
    <w:p>
      <w:r>
        <w:t>a) In formeller Hinsicht rügen die Beschwerdeführer eine Verletzung des in Art. 29 Abs. 2 BV garantierten Anspruchs auf rechtliches Gehör, da das Verwaltungsgericht trotz entsprechendem Antrag keinen zweiten Schriftenwechsel durchgeführt habe. Indem es ihnen keine Gelegenheit geboten habe, im Rahmen eines zweiten Schriftenwechsels Stellung zu nehmen, hätten sie wesentliche Argumente - etwa den Stimmberechtigten seien wesentliche Informationen vorenthalten worden, oder die Gemeindebehörden seien von falschen Zahlen ausgegangen - nicht ins Verfahren einbringen können.</w:t>
      </w:r>
    </w:p>
    <w:p>
      <w:r>
        <w:t>b) Das Verwaltungsgericht hat im angefochtenen Urteil dazu ausgeführt, sein Instruktionsrichter habe den Schriftenwechsel mit prozessleitender Verfügung vom 14. Dezember 2000 (die allerdings nicht in den Akten liegt) für geschlossen erklärt. Nach Art. 76 VGG könne eine derartige prozessleitende Verfügung innert 10 Tagen ans Verwaltungsgericht weitergezogen werden. Ein solcher Weiterzug sei nicht erfolgt, die Beschwerdeführer hätten lediglich am 19. Dezember 2000 ihren Antrag auf Durchführung eines zweiten Schriftenwechsels erneuert. Selbst wenn man diesen Antrag als Prozessbeschwerde verstehen wollte, so wäre sie unbegründet, da die von der Gemeinde mit der Vernehmlassung ins Recht gelegten Beweismittel Tatsachen betreffen würden, die entweder unbestritten, irrelevant oder gerichtsnotorisch seien.</w:t>
      </w:r>
    </w:p>
    <w:p>
      <w:r>
        <w:t>In der Vernehmlassung ergänzte das Verwaltungsgericht, die Vertreterin der Beschwerdeführer habe am Tage vor der Urteilsberatung mit dem Instruktionsrichter telefoniert.</w:t>
      </w:r>
    </w:p>
    <w:p>
      <w:r>
        <w:t>Dabei sei sie auch auf den Antrag auf Durchführung des zweiten Schriftenwechsels zu sprechen gekommen. Im Hinblick auf die bereits auf den nächsten Tag angesetzte Urteilsberatung habe ihr der Instruktionsrichter mitgeteilt, ein förmliches Gesuch um Durchführung eines zweiten Schriftenwechsels würde den Richtern vorgelegt, wenn es bis zum Sitzungsbeginn eintreffe.</w:t>
      </w:r>
    </w:p>
    <w:p>
      <w:r>
        <w:t>Erstaunlicherweise sei das Gesuch dann an die Gemeinde Samnaun statt ans Verwaltungsgericht gesandt worden, sodass es erst nach der Urteilsberatung bei ihm angekommen sei. Im Übrigen hätte es ohnehin, aus den im Urteil genannten Gründen, abgewiesen werden müssen.</w:t>
      </w:r>
    </w:p>
    <w:p>
      <w:r>
        <w:rPr>
          <w:b/>
        </w:rPr>
        <w:t>E. 3</w:t>
      </w:r>
    </w:p>
    <w:p>
      <w:r>
        <w:t>a) Der Umfang des Anspruchs auf Akteneinsicht bemisst sich in erster Linie nach kantonalem Recht, subsidiär nach den aus Art. 29 Abs. 2 BV abgeleiteten Mindestgarantien ( BGE 119 Ia 136 E. 2c S. 138, mit Hinweisen). Die Beschwerdeführer machen nicht geltend, das kantonale Recht gewähre einen über Art. 29 Abs. 2 BV hinausgehenden Anspruch auf Akteneinsicht. Nach dieser Verfassungsbestimmung erstreckt sich die Akteneinsicht, unter Vorbehalt von hier nicht in Betracht fallenden Ausnahmen zum Schutz von überwiegenden Geheimhaltungsinteressen, auf alle für den Entscheid wesentlichen Akten, d.h. auf jene Akten, die Grundlage einer Entscheidung bilden ( BGE 121 I 225 E. 2a; 119 Ib 12 E. 6b; vgl. auch BGE 125 II 473 E. 4c/cc).</w:t>
      </w:r>
    </w:p>
    <w:p>
      <w:r>
        <w:t>b) Die Gemeinde Samnaun reichte mit ihrer Vernehmlassung an das Verwaltungsgericht vom 13. Dezember 2000 26 Vernehmlassungsbeilagen ein. Darunter befanden sich neben allgemein zugänglichen Unterlagen wie Auszügen aus dem Mehrwertsteuergesetz und der Samnauner Gemeindeverfassung insbesondere auch Sitzungsprotokolle der Verhandlungen der Gemeindevertreter von Samnaun und Tschlin mit den Vertretern des Bundes (Bundesamt für Landwirtschaft, Eidgenössische Zollverwaltung und Eidgenössische Steuerverwaltungen) über die Kompensation der Mehrwertsteuer, Schreiben der Bundesstellen zu diesem Thema, das Protokoll einer offenbar von der Gemeinde veranlassten, von der Grischconsulta durchgeführten Klausurtagung "Zollfrei-Marketing Samnaun" sowie Sitzungsprotokolle des Gemeinderates und der Finanzkommission über die Vorbereitung der Sondersteuervorlagen.</w:t>
      </w:r>
    </w:p>
    <w:p>
      <w:r>
        <w:t>c) In der Botschaft des Gemeindevorstandes vom 1. Dezember 2000 zur Urnenabstimmung vom 17. Dezember 2000 wird erläutert, als Kompensationszahlung für die Mehrwertsteuer sei ein Betrag von 5,113 Millionen Franken ausgehandelt worden; eine Unterstellung der Zollfreizone Samnaun und Tschlin hätte dagegen Abgaben von 10,28 Millionen Franken zur Folge. Diese Zahlen geben Auskunft über die finanzielle Tragweite der umstrittenen Vorlagen und zeigen insbesondere auch auf, dass die Einwohner von Samnaun mit der vom Gemeinderat vorgeschlagenen Lösung - Aufrechterhaltung der Zollfreizone unter Ausrichtung einer Kompensationszahlung an den Bund für die entgehende Mehrwertsteuer - finanziell insgesamt wesentlich besser fahren, als wenn das reguläre Mehrwertsteuer-Regime eingeführt würde. Die Zahlen waren somit für die Willensbildung der Stimmberechtigten massgebend; waren sie falsch, wie die Beschwerdeführer geltend machen, so verfälschte dies möglicherweise die Willensbildung der Stimmberechtigten, was zur Gutheissung der kantonalen Abstimmungsbeschwerde hätte führen können.</w:t>
      </w:r>
    </w:p>
    <w:p>
      <w:r>
        <w:t>Bereits eine oberflächliche Durchsicht der von der Gemeinde eingereichten Vernehmlassungsunterlagen zeigt, dass sich aus ihnen ergibt, von welchen Zahlen und Annahmen Gemeinde und Bund bei ihren Verhandlungen ausgegangen sind und wie sie die in der Abstimmungsbotschaft angegebenen Zahlen berechnet bzw. geschätzt haben. Die Beschwerdeführer erhoben bereits in der kantonalen Abstimmungsbeschwerde die Rüge, die Willensbildung der Stimmberechtigten sei verfälscht worden, weil die Gewerbetreibenden entgegen den in der Abstimmungsbotschaft enthaltenen, auf einem Rechnungsfehler beruhenden Zahlen, massiv schlechter gestellt würden, als wenn das Mehrwertsteuer-Regime eingeführt würde. Die Vernehmlassungsunterlagen der Gemeinde Samnaun, welche die Beschwerdeführer unbestrittenermassen nicht kannten, sind somit offensichtlich geeignet, diese Rüge zu belegen oder zu widerlegen.</w:t>
      </w:r>
    </w:p>
    <w:p>
      <w:r>
        <w:t>d) Zusammenfassend ist somit festzuhalten, dass es sich bei den Vernehmlassungsbeilagen der Gemeinde Samnaun um Beweismittel handelt, die geeignet sind, den Verfahrensausgang zu beeinflussen; die Auffassung des Verwaltungsgerichts, sie seien von vornherein irrelevant, ist nicht haltbar.</w:t>
      </w:r>
    </w:p>
    <w:p>
      <w:r>
        <w:t>Dieses wäre daher verfassungsrechtlich verpflichtet gewesen, den Beschwerdeführern vor seinem Entscheid Gelegenheit einzuräumen, dazu Stellung zu nehmen.</w:t>
      </w:r>
    </w:p>
    <w:p>
      <w:r>
        <w:t>Es kann auch nicht die Rede davon sein, dass sie auf dieses Anhörungsrecht verzichtet oder es durch Untätigkeit verwirkt hätten. Wie das Verwaltungsgericht selber einräumt, hatten die Beschwerdeführer 10 Tage Zeit, die Verfügung des Instruktionsrichters über den Schluss des Schriftenwechsels vom 14. Dezember 2000 mittels Prozessbeschwerde anzufechten. Das Verwaltungsgericht fällte sein Urteil am 20. Dezember 2000 vor Ablauf dieser Frist, obwohl der Instruktionsrichter der Rechtsvertreterin der Beschwerdeführer tags zuvor zugesichert hatte, einen entsprechenden Antrag den urteilenden Richtern vorzulegen. Es war unter diesen Umständen nicht zulässig, vor Ablauf der gesetzlichen und damit auch das Verwaltungsgericht bindenden Beschwerdefrist ohne Durchführung eines zweiten Schriftenwechsels zu urteilen.</w:t>
      </w:r>
    </w:p>
    <w:p>
      <w:r>
        <w:t>Das Verwaltungsgericht hat damit das rechtliche Gehör der Beschwerdeführer verletzt, indem es ihnen keine Gelegenheit gab, zu den Vernehmlassungsbeilagen der Gemeinde Samnaun Stellung zu nehmen. Die Rüge ist begründet. Da es nicht Aufgabe des Bundesgerichts sein kann, im Verfahren der staatsrechtlichen Beschwerde die von den Beschwerdeführern erhobene Rüge der Verfälschung der Willensbildung der Stimmberechtigten erstmals zu prüfen, führt dies zur Aufhebung des angefochtenen Entscheids, ohne dass die materiellen Rügen zu behandeln wären. Damit erübrigt sich, den Antrag der Gemeinde Samnaun auf Duplik zu behandeln.</w:t>
      </w:r>
    </w:p>
    <w:p>
      <w:r>
        <w:rPr>
          <w:b/>
        </w:rPr>
        <w:t>E. 4</w:t>
      </w:r>
    </w:p>
    <w:p>
      <w:r>
        <w:t>Praxisgemäss sind bei Stimmrechtbeschwerden keine Kosten zu erheben. Hingegen hat die unterliegende Gemeinde Samnaun den Beschwerdeführern eine angemessene Parteientschädigung zu bezahlen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