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1P.114/2003 vom 25. März 2003</w:t>
      </w:r>
    </w:p>
    <w:p>
      <w:r>
        <w:t>Bundesgericht, 2003-03-25, IT</w:t>
      </w:r>
    </w:p>
    <w:p>
      <w:r>
        <w:rPr>
          <w:b/>
        </w:rPr>
        <w:t xml:space="preserve">Quelle: </w:t>
      </w:r>
      <w:r>
        <w:t>https://mcp.opencaselaw.ch/entscheid/bger_1P.114_2003</w:t>
      </w:r>
    </w:p>
    <w:p>
      <w:r>
        <w:t>FR: TF 1P.114/2003 du 25 mars 2003</w:t>
      </w:r>
    </w:p>
    <w:p>
      <w:r>
        <w:t>IT: TF 1P.114/2003 del 25 marzo 2003</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t>Il ricorso è fondato sulla pretesa violazione di diritti costituzionali dei cittadini ( art. 84 cpv. 1 lett. a OG ) ed è tempestivo ( art. 89 cpv. 1 OG ); interposto contro una decisione emanata dall'ultima istanza cantonale, esso adempie il requisito dell'esaurimento delle istanze cantonali ( art. 86 cpv. 1 OG , art. 284 cpv. 1 lett. b CPP /TI).</w:t>
      </w:r>
    </w:p>
    <w:p>
      <w:r>
        <w:rPr>
          <w:b/>
        </w:rPr>
        <w:t>E. 2.1</w:t>
      </w:r>
    </w:p>
    <w:p>
      <w:r>
        <w:t>Secondo l' art. 88 OG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128 I 218 consid. 1.1, 125 I 253 consid. 1b e rinvii; sentenza del 21 dicembre 1999 nella causa B., consid. 3, pubblicata in RDAT I-2000, n. 52, pag. 496 segg.; sentenza del 6 dicembre 1999 nella causa R., pubblicata in RDAT I-2000, n. 53, pag. 498 segg.;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sentenza del 6 dicembre 1999, citata). Questa giurisprudenza è stata mantenuta anche dopo l'entrata in vigore, il 1° gennaio 2000, dell' art. 9 Cost. (cfr. DTF 128 I 218 consid. 1.1, 126 I 81 consid. 3-6, 97 consid. 1a).</w:t>
      </w:r>
    </w:p>
    <w:p>
      <w:r>
        <w:rPr>
          <w:b/>
        </w:rPr>
        <w:t>E. 2.2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120 Ia 220 consid. 2a).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come visto, il leso o denunciante non è legittimato a impugnare ( DTF 120 Ia 157 consid. 2a/bb e rinvii).</w:t>
      </w:r>
    </w:p>
    <w:p>
      <w:r>
        <w:rPr>
          <w:b/>
        </w:rPr>
        <w:t>E. 2.3</w:t>
      </w:r>
    </w:p>
    <w:p>
      <w:r>
        <w:t>Le ricorrenti fanno valere una carenza di motivazione del giudizio impugnato criticando però, in realtà, la conclusione della CRP di non ritenere in concreto realizzati gli elementi soggettivi costitutivi del reato di ricettazione. Censurano inoltre una mancata assunzione da parte delle Autorità cantonali delle prove da loro offerte e l'applicazione arbitraria dell' art. 186 cpv. 4 CPP /TI secondo cui, quando per il chiarimento della decisione sulla promozione dell'accusa occorrono altre prove, la CRP ordina al PP la completazione delle informazioni preliminari.</w:t>
      </w:r>
    </w:p>
    <w:p>
      <w:r>
        <w:t>La Corte cantonale, come in precedenza il Magistrato inquirente, ha negato, fondandosi sugli accertamenti acquisiti, l'esistenza di elementi soggettivi costitutivi di reato e di seri indizi di colpevolezza a carico degli indagati. In tali circostanze ha quindi ritenuto superflua, sulla base di un apprezzamento anticipato, l'assunzione delle ulteriori prove prospettate dalle istanti. Certo, le ricorrenti, cui manca, in quanto persone giuridiche, la qualità di vittima secondo l' art. 2 cpv. 1 LAV , lamentano dal profilo formale la violazione di garanzie procedurali. Tuttavia, con le citate censure, e segnatamente insistendo sulla pretesa necessità di interrogare altri testimoni e sull'arbitrarietà delle motivazioni esposte nel giudizio impugnato, esse criticano sostanzialmente la valutazione delle prove da parte delle Autorità cantonali e rimettono in discussione il merito della causa. Come visto, le ricorrenti difettano però di un interesse giuridicamente protetto al riguardo, sicché il loro gravame non può essere esaminato sotto l'aspetto degli invocati diritti costituzionali.</w:t>
      </w:r>
    </w:p>
    <w:p>
      <w:r>
        <w:rPr>
          <w:b/>
        </w:rPr>
        <w:t>E. 3</w:t>
      </w:r>
    </w:p>
    <w:p>
      <w:r>
        <w:t>Ne consegue che il ricorso deve essere dichiarato inammissibile. Le spese seguono la soccombenza ( art. 156 cpv. 1 OG ). Alle controparti, che non sono state invitate a presentare una risposta, non si assegnano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