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1P.114/2002 vom 7. Mai 2002</w:t>
      </w:r>
    </w:p>
    <w:p>
      <w:r>
        <w:t>Bundesgericht, 2002-05-07, FR</w:t>
      </w:r>
    </w:p>
    <w:p>
      <w:r>
        <w:rPr>
          <w:b/>
        </w:rPr>
        <w:t xml:space="preserve">Quelle: </w:t>
      </w:r>
      <w:r>
        <w:t>https://mcp.opencaselaw.ch/entscheid/bger_1P.114_2002</w:t>
      </w:r>
    </w:p>
    <w:p>
      <w:r>
        <w:t>FR: TF 1P.114/2002 du 7 mai 2002</w:t>
      </w:r>
    </w:p>
    <w:p>
      <w:r>
        <w:t>IT: TF 1P.114/2002 del 7 maggio 2002</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128 II 13 consid. 1a p. 16, 46 consid. 2a p. 47 et les arrêts cités).</w:t>
      </w:r>
    </w:p>
    <w:p>
      <w:r>
        <w:rPr>
          <w:b/>
        </w:rPr>
        <w:t>E. 1.1</w:t>
      </w:r>
    </w:p>
    <w:p>
      <w:r>
        <w:t>Aux termes de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 Constitue une décision finale au sens de l' art. 87 OJ celle qui met un point final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 ATF 123 I 325 consid. 3b p. 327; 122 I 39 consid. 1a/aa p. 41; 120 Ia 369 consid. 1b p. 372, 120 III 143 consid. 1a p. 144, et les arrêts cités). Le dommage irréparable mentionné à l' art. 87 al. 2 OJ s'entend exclusivement d'un dommage juridique qui ne peut pas être réparé ultérieurement, notamment par le jugement final ( ATF 127 I 92 consid. 1c p. 94; 126 I 207 consid. 2 p. 210; 122 I 39 consid. 1a/bb p. 42, et les arrêts cités); en revanche, il n'y a pas lieu de prendre en considération un dommage de fait, tel que celui lié à la longueur ou au coût de la procédure ( ATF 127 I 92 consid. 1c p. 94; 122 I 39 consid. 1a/bb p. 42; 117 Ia 251 consid. 1b p. 253/254, et les arrêts cités). Il appartient au recourant d'alléguer et d'établir la possibilité que la décision incidente lui cause un dommage irréparable, à moins que celui-ci ne fasse d'emblée aucun doute ( ATF 116 II 80 consid. 2c in fine p. 84).</w:t>
      </w:r>
    </w:p>
    <w:p>
      <w:r>
        <w:rPr>
          <w:b/>
        </w:rPr>
        <w:t>E. 1.2</w:t>
      </w:r>
    </w:p>
    <w:p>
      <w:r>
        <w:t>La décision déniant la qualité de partie civile est, y compris pour celui qui revendique cette qualité, de nature incidente, car elle ne met pas fin à la procédure en cours (arrêt 1P.580/2001 du 22 janvier 2002, consid. 1.3). Comme cette décision n'entre pas dans la catégorie spéciale de l' art. 87 al. 1 OJ , il reste uniquement à examiner si elle cause un dommage irréparable au sens de l' art. 87 al. 2 OJ . A ce propos, contrairement à ce que la jurisprudence qui vient d'être citée lui impose, le recourant n'apporte aucun élément, de fait ou de droit, de nature à démontrer l'existence d'un tel dommage, lequel est au demeurant indiscernable. Pour le surplus, les autorités cantonales ayant précisé que la décision attaquée ne porte pas atteinte au droit du recourant de consulter le dossier, comme le prévoit l' art. 152 CPP vaud., le recourant pourra suivre les développements de l'affaire jusqu'à son terme. Contre la décision cantonale qui mettra fin à la procédure pénale, il disposera encore de la voie du recours de droit public pour contester la décision qui fait l'objet du présent recours ( art. 87 al. 3 OJ ). Sans doute ces perspectives sont-elles lointaines et incertaines. De même, peut-on comprendre que le recourant souhaite soumettre au Tribunal fédéral un litige qui pourrait se représenter et qui découle, pour ce qui le concerne, d'un revirement jurisprudentiel. Il s'agit-là toutefois de motifs de convenance qui ne commandent pas de déroger à la règle de l' art. 87 OJ .</w:t>
      </w:r>
    </w:p>
    <w:p>
      <w:r>
        <w:rPr>
          <w:b/>
        </w:rPr>
        <w:t>E. 2</w:t>
      </w:r>
    </w:p>
    <w:p>
      <w:r>
        <w:t>Le recours est ainsi irrecevable.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