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1P.101/2001 vom 5. April 2001</w:t>
      </w:r>
    </w:p>
    <w:p>
      <w:r>
        <w:t>Bundesgericht, 2001-04-05, FR</w:t>
      </w:r>
    </w:p>
    <w:p>
      <w:r>
        <w:rPr>
          <w:b/>
        </w:rPr>
        <w:t xml:space="preserve">Quelle: </w:t>
      </w:r>
      <w:r>
        <w:t>https://mcp.opencaselaw.ch/entscheid/bger_1P.101_2001</w:t>
      </w:r>
    </w:p>
    <w:p>
      <w:r>
        <w:t>FR: TF 1P.101/2001 du 5 avril 2001</w:t>
      </w:r>
    </w:p>
    <w:p>
      <w:r>
        <w:t>IT: TF 1P.101/2001 del 5 aprile 2001</w:t>
      </w:r>
    </w:p>
    <w:p>
      <w:pPr>
        <w:pStyle w:val="Heading2"/>
      </w:pPr>
      <w:r>
        <w:t>Regeste</w:t>
      </w:r>
    </w:p>
    <w:p>
      <w:r>
        <w:t>Procédure</w:t>
      </w:r>
    </w:p>
    <w:p>
      <w:pPr>
        <w:pStyle w:val="Heading2"/>
      </w:pPr>
      <w:r>
        <w:t>Erwägungen</w:t>
      </w:r>
    </w:p>
    <w:p>
      <w:r>
        <w:rPr>
          <w:b/>
        </w:rPr>
        <w:t>E. 1</w:t>
      </w:r>
    </w:p>
    <w:p>
      <w:r>
        <w:t>Le Tribunal fédéral examine d'office et avec une pleine cognition la recevabilité des recours qui lui sont soumis ( ATF 126 I 81 consid. 1 p. 83, 207 consid. 1 p. 209, 257 consid. 1a p. 258; 126 II 506 consid. 1 p. 507; 126 III 274 consid. 1 p. 275, 485 consid. 1 p. 486, et les arrêts cités). a) 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b) La décision attaquée, par laquelle le Tribunal cantonal rejette un recours dirigé contre un acte d'instruction et confirme le maintien d'une pièce au dossier de la procédure, est de nature incidente ( ATF 101 Ia 161 ). Il s'agit en effet d'une simple étape de la procédure avant l'éventuel renvoi devant une autorité de jugement (cf. ATF 123 I 325 consid. 3b p. 327; 122 I 39 consid. 1a/aa p. 41; 120 Ia 369 consid. 1b p. 372, et les arrêts cités). En outre, elle ne cause pas au recourant un dommage irréparable au sens de l' art. 87 al. 2 OJ , par quoi on entend exclusivement le dommage juridique qui ne peut être réparé ultérieurement, notamment par le jugement final ( ATF 126 I 207 consid. 2 p. 210; 122 I 39 consid. 1a/bb p. 42; 117 Ia 247 consid. 3, p. 249, 396 consid. 1 p. 398, et les arrêts cités). Pour le cas où le recourant serait renvoyé en jugement pour les faits évoqués dans la plainte du 16 juillet 1999, il lui serait loisible de soulever, à propos du caractère admissible ou de la légalité de la transcription litigieuse, une question préjudicielle au sens de l' art. 128 CPP val. En outre, à supposer que le vice dénoncé ne puisse être réparé dans le cours de la procédure cantonale, le recourant disposerait encore, dans l'hypothèse la plus défavorable, de la possibilité de contester sur ce point précis un éventuel jugement de condamnation, y compris par la voie du recours de droit public (cf. art. 87 al. 3 OJ ).</w:t>
      </w:r>
    </w:p>
    <w:p>
      <w:r>
        <w:rPr>
          <w:b/>
        </w:rPr>
        <w:t>E. 2</w:t>
      </w:r>
    </w:p>
    <w:p>
      <w:r>
        <w:t>Le recours est ainsi irrecevable. Les frais en incombent au recourant ( art. 156 OJ ), ainsi qu'une indemnité à verser à l'intimé R.________ ( art. 159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