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1G_3/2020 vom 24. November 2020</w:t>
      </w:r>
    </w:p>
    <w:p>
      <w:r>
        <w:t>Bundesgericht, 2020-11-24, FR</w:t>
      </w:r>
    </w:p>
    <w:p>
      <w:r>
        <w:rPr>
          <w:b/>
        </w:rPr>
        <w:t xml:space="preserve">Quelle: </w:t>
      </w:r>
      <w:r>
        <w:t>https://mcp.opencaselaw.ch/entscheid/bger_1G_3_2020</w:t>
      </w:r>
    </w:p>
    <w:p>
      <w:r>
        <w:t>FR: TF 1G_3/2020 du 24 novembre 2020</w:t>
      </w:r>
    </w:p>
    <w:p>
      <w:r>
        <w:t>IT: TF 1G_3/2020 del 24 novembre 2020</w:t>
      </w:r>
    </w:p>
    <w:p>
      <w:pPr>
        <w:pStyle w:val="Heading2"/>
      </w:pPr>
      <w:r>
        <w:t>Erwägungen</w:t>
      </w:r>
    </w:p>
    <w:p>
      <w:r>
        <w:rPr>
          <w:b/>
        </w:rPr>
        <w:t>E. 1</w:t>
      </w:r>
    </w:p>
    <w:p>
      <w:r>
        <w:t>Par arrêt du 30 octobre 2020 (1C_231/2019), le Tribunal fédéral a admis le recours interjeté par PPE A.________ et divers consorts contre un arrêt de la Cour de droit administratif et public du Tribunal cantonal du canton de Vaud du 14 mars 2019 concernant une autorisation de construire accordée le 5 décembre 2017 par la Municipalité de Vevey. Il a annulé l'arrêt cantonal attaqué de même que l'autorisation de construire du 5 décembre 2017, alloué une indemnité de dépens de 4'000 fr. aux recourants, à la charge de la Ville de Vevey, et mis les frais judiciaires, arrêtés à 4'000 fr., à la charge de la Ville de Vevey. Le dispositif de l'arrêt ne traite en revanche pas des frais et dépens de l'instance cantonale.</w:t>
      </w:r>
    </w:p>
    <w:p>
      <w:r>
        <w:t>Le 16 novembre 2020, la Cour de droit administratif et public du Tribunal cantonal a transmis au Tribunal fédéral comme objet possible de sa compétence la requête du mandataire de PPE A.________ et consorts du 12 novembre 2020 tendant à ce qu'elle statue à nouveau sur la question des frais de justice et des dépens de l'instance cantonale à la suite de l'arrêt du Tribunal fédéral du 30 octobre 2020.</w:t>
      </w:r>
    </w:p>
    <w:p>
      <w:r>
        <w:rPr>
          <w:b/>
        </w:rPr>
        <w:t>E. 2</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w:t>
      </w:r>
    </w:p>
    <w:p>
      <w:r>
        <w:t>Cette procédure, qui peut être entreprise d'office par le Tribunal fédéral et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w:t>
      </w:r>
    </w:p>
    <w:p>
      <w:r>
        <w:t>En l'occurrence, le Tribunal fédéral a, dans le dispositif de l'arrêt du 30 octobre 2020, annulé l'arrêt de la Cour de droit administratif et public du Tribunal cantonal du canton de Vaud du 14 mars 2019 ainsi que l'autorisation de construire du 5 décembre 2017, admettant ainsi que ces décisions étaient erronées et que la démarche des recourants entreprise auprès du Tribunal cantonal était bien fondée. Eu égard au sort de la cause, il lui appartenait de se prononcer sur le sort des frais et dépens de la procédure cantonale. Conformément à la pratique consacrée par le Tribunal fédéral et prévue par les art. 67 et 68 al. 5 in fine LTF, il s'imposait de renvoyer l'affaire à la juridiction cantonale pour que cette autorité statue à nouveau sur les frais et dépens de la procédure cantonale. Par inadvertance, cette clause de renvoi a été omise dans le dispositif, si bien qu'il y a lieu de compléter d'office l'arrêt du 30 octobre 2020 en ce sens.</w:t>
      </w:r>
    </w:p>
    <w:p>
      <w:r>
        <w:rPr>
          <w:b/>
        </w:rPr>
        <w:t>E. 3</w:t>
      </w:r>
    </w:p>
    <w:p>
      <w:r>
        <w:t>Le présent arrêt est rendu sans frais et dépens ni échange d'écritures (arrêt 9G_1/2018 du 25 janvier 2018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