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1G_1/2010 vom 14. September 2010</w:t>
      </w:r>
    </w:p>
    <w:p>
      <w:r>
        <w:t>Bundesgericht, 2010-09-14, DE</w:t>
      </w:r>
    </w:p>
    <w:p>
      <w:r>
        <w:rPr>
          <w:b/>
        </w:rPr>
        <w:t xml:space="preserve">Quelle: </w:t>
      </w:r>
      <w:r>
        <w:t>https://mcp.opencaselaw.ch/entscheid/bger_1G_1_2010</w:t>
      </w:r>
    </w:p>
    <w:p>
      <w:r>
        <w:t>FR: TF 1G_1/2010 du 14 septembre 2010</w:t>
      </w:r>
    </w:p>
    <w:p>
      <w:r>
        <w:t>IT: TF 1G_1/2010 del 14 settembre 2010</w:t>
      </w:r>
    </w:p>
    <w:p>
      <w:pPr>
        <w:pStyle w:val="Heading2"/>
      </w:pPr>
      <w:r>
        <w:t>Erwägungen</w:t>
      </w:r>
    </w:p>
    <w:p>
      <w:r>
        <w:rPr>
          <w:b/>
        </w:rPr>
        <w:t>E. 1</w:t>
      </w:r>
    </w:p>
    <w:p>
      <w:r>
        <w:t>zu Lasten der unterliegenden Partei, wenn Parteien mit gegensätzlichen Interessen am Verfahren beteiligt sind;</w:t>
      </w:r>
    </w:p>
    <w:p>
      <w:r>
        <w:rPr>
          <w:b/>
        </w:rPr>
        <w:t>E. 1.1</w:t>
      </w:r>
    </w:p>
    <w:p>
      <w:r>
        <w:t>Nach Art. 68 Abs. 5 BGG wird der Entscheid der Vorinstanz über die Parteientschädigung vom Bundesgericht je nach Ausgang des Verfahrens bestätigt, aufgehoben oder geändert. Dabei kann das Gericht die Entschädigung nach Massgabe des anwendbaren eidgenössischen oder kantonalen Tarifs selbst festsetzen oder die Festsetzung der Vorinstanz übertragen.</w:t>
      </w:r>
    </w:p>
    <w:p>
      <w:r>
        <w:rPr>
          <w:b/>
        </w:rPr>
        <w:t>E. 1.2</w:t>
      </w:r>
    </w:p>
    <w:p>
      <w:r>
        <w:t>Das Urteil des Bundesgerichts vom 2. Juni 2010 legt für das verwaltungsgerichtliche Verfahren keine Parteientschädigung zugunsten der obsiegenden Beschwerdeführer fest und enthält auch keine Rückweisung an das Verwaltungsgericht zur Festsetzung einer Parteientschädigung. Es handelt sich dabei um ein Versehen, das im Rahmen des vorliegenden Berichtigungsverfahrens korrigiert werden kann. Der Auffassung der Beschwerdegegnerin, das Bundesgericht habe den Beschwerdeführern eine Parteientschädigung von "insgesamt Fr. 4'000.--" zugesprochen und damit auch die Parteikosten des verwaltungsgerichtlichen Verfahrens beurteilt, kann nicht zugestimmt werden. Die Parteientschädigung von Fr. 4'000.-- wurde in Anwendung von Art. 68 Abs. 2 BGG den durch einen Rechtsanwalt vertretenen Beschwerdeführern nach Massgabe ihres Obsiegens zusammen zugesprochen und betrifft lediglich die beiden bundesgerichtlichen Verfahren 1C_212/2009 und 1C_214/2009.</w:t>
      </w:r>
    </w:p>
    <w:p>
      <w:r>
        <w:rPr>
          <w:b/>
        </w:rPr>
        <w:t>E. 1.3</w:t>
      </w:r>
    </w:p>
    <w:p>
      <w:r>
        <w:t>§ 28 Abs. 2 des kantonalen Verwaltungsrechtspflegegesetzes vom 1. April 1976 (VRG/ZG; BGS 162.1) bestimmt:</w:t>
      </w:r>
    </w:p>
    <w:p>
      <w:r>
        <w:t>2Im Rechtsmittelverfahren ist der ganz oder teilweise obsiegenden Partei eine Parteientschädigung nach Massgabe ihres Obsiegens zuzusprechen:</w:t>
      </w:r>
    </w:p>
    <w:p>
      <w:r>
        <w:rPr>
          <w:b/>
        </w:rPr>
        <w:t>E. 2</w:t>
      </w:r>
    </w:p>
    <w:p>
      <w:r>
        <w:t>Für das vorliegende Verfahren werden keine Gerichtskosten erhoben ( Art. 66 Abs. 1 BGG ). Den Beschwerdeführern ist eine angemessene Parteientschädigung zulasten der Bundesgerichtskasse zuzusprechen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