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1F_9/2023 vom 3. Mai 2023</w:t>
      </w:r>
    </w:p>
    <w:p>
      <w:r>
        <w:t>Bundesgericht, 2023-05-03, DE</w:t>
      </w:r>
    </w:p>
    <w:p>
      <w:r>
        <w:rPr>
          <w:b/>
        </w:rPr>
        <w:t xml:space="preserve">Quelle: </w:t>
      </w:r>
      <w:r>
        <w:t>https://mcp.opencaselaw.ch/entscheid/bger_1F_9_2023</w:t>
      </w:r>
    </w:p>
    <w:p>
      <w:r>
        <w:t>FR: TF 1F_9/2023 du 3 mai 2023</w:t>
      </w:r>
    </w:p>
    <w:p>
      <w:r>
        <w:t>IT: TF 1F_9/2023 del 3 maggio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1F_9/2023</w:t>
      </w:r>
    </w:p>
    <w:p>
      <w:r>
        <w:t>Urteil vom 3. Mai 2023</w:t>
      </w:r>
    </w:p>
    <w:p>
      <w:r>
        <w:t>I. öffentlich-rechtliche Abteilung</w:t>
      </w:r>
    </w:p>
    <w:p>
      <w:r>
        <w:t>Besetzung</w:t>
      </w:r>
    </w:p>
    <w:p>
      <w:r>
        <w:t>Bundesrichter Müller, präsidierendes Mitglied,</w:t>
      </w:r>
    </w:p>
    <w:p>
      <w:r>
        <w:t>Bundesrichter Chaix, Kölz,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Adrian Berlinger, Staatsanwaltschaft Abteilung 1, Eichwilstrasse 2, 6010 Kriens,</w:t>
      </w:r>
    </w:p>
    <w:p>
      <w:r>
        <w:t>Gesuchsgegner,</w:t>
      </w:r>
    </w:p>
    <w:p>
      <w:r>
        <w:t>Kantonsgericht Luzern, 1. Abteilung, Präsidentin, Hirschengraben 16, 6003 Luzern.</w:t>
      </w:r>
    </w:p>
    <w:p>
      <w:r>
        <w:t>Gegenstand</w:t>
      </w:r>
    </w:p>
    <w:p>
      <w:r>
        <w:t>Revisionsgesuch gegen das Urteil des Schweizerischen Bundesgerichts 1B_97/2023 vom 17. Februar 2023.</w:t>
      </w:r>
    </w:p>
    <w:p>
      <w:r>
        <w:t>In Erwägung,</w:t>
      </w:r>
    </w:p>
    <w:p>
      <w:r>
        <w:t>dass das Bundesgericht mit Urteil 1B_97/2023 vom 17. Februar 2023 auf eine Beschwerde von A.________ infolge Verletzung der gesetzlichen Begründungspflicht nicht eingetreten ist;</w:t>
      </w:r>
    </w:p>
    <w:p>
      <w:r>
        <w:t>dass A.________ mit Eingabe vom 21. März 2023 das bundesgerichtliche Urteil zurückweist und für ungültig erklärt;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des Gesuchstellers somit als Revisionsgesuch zu behandeln ist;</w:t>
      </w:r>
    </w:p>
    <w:p>
      <w:r>
        <w:t>dass der Gesuchsteller sich auf keinen Revisionsgrund beruft und nicht verständlich aufzeigt, inwiefern der bundesgerichtliche Nichteintretensentscheid an einem solchen leiden sollte;</w:t>
      </w:r>
    </w:p>
    <w:p>
      <w:r>
        <w:t>dass der Gesuchsteller, soweit er eine falsche Rechtsanwendung von Art. 42 Abs. 2 BGG geltend machen will, Kritik an der rechtlichen Würdigung übt, die im Revisionsverfahren nicht zu hören ist;</w:t>
      </w:r>
    </w:p>
    <w:p>
      <w:r>
        <w:t>dass deshalb auf das Revisionsgesuch ohne Schriftenwechsel ( Art. 127 BGG ) nicht einzutreten ist;</w:t>
      </w:r>
    </w:p>
    <w:p>
      <w:r>
        <w:t>dass die Gerichtskosten dem Gesuchsteller aufzuerlegen sind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500.-- werden dem Gesuchsteller auferlegt.</w:t>
      </w:r>
    </w:p>
    <w:p>
      <w:r>
        <w:t>3.</w:t>
      </w:r>
    </w:p>
    <w:p>
      <w:r>
        <w:t>Dieses Urteil wird den Parteien und dem Kantonsgericht Luzern, 1. Abteilung, Präsidentin, schriftlich mitgeteilt.</w:t>
      </w:r>
    </w:p>
    <w:p>
      <w:r>
        <w:t>Lausanne, 3. Mai 2023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Müller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