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1F_9/2021 vom 4. März 2021</w:t>
      </w:r>
    </w:p>
    <w:p>
      <w:r>
        <w:t>Bundesgericht, 2021-03-04, DE</w:t>
      </w:r>
    </w:p>
    <w:p>
      <w:r>
        <w:rPr>
          <w:b/>
        </w:rPr>
        <w:t xml:space="preserve">Quelle: </w:t>
      </w:r>
      <w:r>
        <w:t>https://mcp.opencaselaw.ch/entscheid/bger_1F_9_2021</w:t>
      </w:r>
    </w:p>
    <w:p>
      <w:r>
        <w:t>FR: TF 1F_9/2021 du 4 mars 2021</w:t>
      </w:r>
    </w:p>
    <w:p>
      <w:r>
        <w:t>IT: TF 1F_9/2021 del 4 marzo 2021</w:t>
      </w:r>
    </w:p>
    <w:p>
      <w:pPr>
        <w:pStyle w:val="Heading2"/>
      </w:pPr>
      <w:r>
        <w:t>Erwägungen</w:t>
      </w:r>
    </w:p>
    <w:p>
      <w:r>
        <w:rPr>
          <w:b/>
        </w:rPr>
        <w:t>E. 1</w:t>
      </w:r>
    </w:p>
    <w:p>
      <w:r>
        <w:t>Mit Urteil 1C_238/2019 vom 7. Oktober 2019 wies das Bundesgericht eine Beschwerde von A.________ gegen ein Urteil des Verwaltungsgerichts des Kantons Bern ab, soweit es darauf eintrat. A.________ hatte gegen ein sein Nachbargrundstück betreffendes Baugesuch Einsprache erhoben.</w:t>
      </w:r>
    </w:p>
    <w:p>
      <w:r>
        <w:t>Mit Eingabe vom 19. Februar 2021 reichte A.________ dem Verwaltungsgericht ein Revisionsgesuch ein, welches das Verwaltungsgericht in der Folge zuständigkeitshalber dem Bundesgericht überwies (vgl. dazu Art. 29 BGG und BGE 138 II 386 E. 6.2 S. 389 f. mit Hinweisen).</w:t>
      </w:r>
    </w:p>
    <w:p>
      <w:r>
        <w:t>A.________ rügt eine falsche Sachverhaltsfeststellung und legt einen Situationsplan vom 17. August 1976 vor, aus dem sich ergebe, dass die Parzellen Nrn. 664 und 648 nicht bebaut und somit kein Weg vorgesehen gewesen sei. Zudem legt er Fotos vor, aus denen sich ergebe, dass der Baugesuchsteller die vom Verwaltungsgericht definierten Auflagen missachte.</w:t>
      </w:r>
    </w:p>
    <w:p>
      <w:r>
        <w:rPr>
          <w:b/>
        </w:rPr>
        <w:t>E. 2</w:t>
      </w:r>
    </w:p>
    <w:p>
      <w:r>
        <w:t>Die Aufhebung oder Abänderung eines in Rechtskraft erwachsenen Bundesgerichtsurteils ist nur bei Vorliegen eines Revisionsgrunds gemäss Art. 121 ff. BGG möglich.</w:t>
      </w:r>
    </w:p>
    <w:p>
      <w:r>
        <w:t>Gemäss Art. 121 lit. d BGG kann die Revision verlangt werden, wenn das Bundesgericht in den Akten liegende erhebliche Tatsachen aus Versehen nicht berücksichtigt hat. Dass dies der Fall ist, behauptet der Gesuchsteller jedoch nicht.</w:t>
      </w:r>
    </w:p>
    <w:p>
      <w:r>
        <w:t>Gemäss Art. 123 Abs. 2 lit. a BGG kann die Revision in öffentlich-rechtlichen Angelegenheiten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diese Voraussetzungen hier erfüllt wären, legt der Gesuchsteller ebenfalls nicht dar. Soweit er die angebliche Missachtung von mit der Baubewilligung verknüpften Auflagen geltend macht, geht er zudem über den Verfahrensgegenstand hinaus, weshalb das Bundesgericht dafür von vornherein nicht zuständig ist.</w:t>
      </w:r>
    </w:p>
    <w:p>
      <w:r>
        <w:rPr>
          <w:b/>
        </w:rPr>
        <w:t>E. 3</w:t>
      </w:r>
    </w:p>
    <w:p>
      <w:r>
        <w:t>Auf das Revisionsgesuch ist ohne Schriftenwechsel ( Art. 127 BGG ) nicht einzutreten.</w:t>
      </w:r>
    </w:p>
    <w:p>
      <w:r>
        <w:t>Das Gesuch des Beschwerdeführers um unentgeltliche Rechtspflege ist wegen Aussichtslosigkeit abzuweisen ( Art. 64 Abs. 1 BGG ). 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