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1F_9/2020 vom 17. Juni 2020</w:t>
      </w:r>
    </w:p>
    <w:p>
      <w:r>
        <w:t>Bundesgericht, 2020-06-17, IT</w:t>
      </w:r>
    </w:p>
    <w:p>
      <w:r>
        <w:rPr>
          <w:b/>
        </w:rPr>
        <w:t xml:space="preserve">Quelle: </w:t>
      </w:r>
      <w:r>
        <w:t>https://mcp.opencaselaw.ch/entscheid/bger_1F_9_2020</w:t>
      </w:r>
    </w:p>
    <w:p>
      <w:r>
        <w:t>FR: TF 1F_9/2020 du 17 juin 2020</w:t>
      </w:r>
    </w:p>
    <w:p>
      <w:r>
        <w:t>IT: TF 1F_9/2020 del 17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Secondo la costante prassi, il Tribunale federale non fa precedere le sue decisioni da una comunicazione sulla composizione della Corte giudicante ( DTF 144 I 37 consid. 2.3.3 pag. 43), peraltro nota agli istanti (sentenza 1B_408/2018 del 13 settembre 2018 consid. 2.2 che li riguarda).</w:t>
      </w:r>
    </w:p>
    <w:p>
      <w:r>
        <w:rPr>
          <w:b/>
        </w:rPr>
        <w:t>E. 2</w:t>
      </w:r>
    </w:p>
    <w:p>
      <w:r>
        <w:t>La domanda di "astensione" del presidente Chaix e del cancelliere Crameri dall'intervenire nel presente giudizio è inammissibile, poiché formulata in maniera generica e senza sostanziare alcun motivo di ricusazione ai sensi dell' art. 34 cpv. 1 LTF , motivo per cui si può prescindere dall'avvio della procedura prevista all' art. 37 LTF . Come noto agli istanti, dalla partecipazione a decisioni terminate con un esito a loro sfavorevole, in particolare quella oggetto dell'istanza di revisione in esame, non può essere dedotta alcuna prevenzione ( art. 34 cpv. 2 LTF ; sentenza 5F_6/2020 del 7 aprile 2020 consid. 4 che li concerne).</w:t>
      </w:r>
    </w:p>
    <w:p>
      <w:r>
        <w:rPr>
          <w:b/>
        </w:rPr>
        <w:t>E. 3.1</w:t>
      </w:r>
    </w:p>
    <w:p>
      <w:r>
        <w:t>Con decisioni cautelari del 30 settembre 2019 e del 9 dicembre 2019, l'Autorità regionale di protezione 9 sede di Torricella-Taverne ha nominato all'istante due curatori di rappresentanza giusta l' art. 394 CC , con il compito, in particolare, di rappresentarlo nei procedimenti giudiziari civili o amministrativi. La questione di sapere se l'istanza di revisione debba essere trasmessa loro per ratifica ( art. 42 cpv. 5 LTF ) può rimanere aperta, dato ch'essa, come si vedrà, sfugge a un esame di merito.</w:t>
      </w:r>
    </w:p>
    <w:p>
      <w:r>
        <w:rPr>
          <w:b/>
        </w:rPr>
        <w:t>E. 3.2</w:t>
      </w:r>
    </w:p>
    <w:p>
      <w:r>
        <w:t>Gli istanti, accennando all' art. 38 cpv. 3 LTF e all' art. 121 lett. a LTF , fondano la domanda su un'asserita lesione di norme concernenti la composizione della Corte giudicante e sulla ricusazione. Al riguardo essi ripropongono semplicemente le censure già esaminate e respinte nella sentenza dedotta in revisione, in particolare la mancata comunicazione anticipata della composizione della Corte (vedi anche sentenza 6F_43/2018 del 29 gennaio 2019 consid. 3.2 e 4.2 nei loro confronti) e il fatto che, il ricorso essendo stato dichiarato inammissibile, non è stato richiamato l'incarto cantonale.</w:t>
      </w:r>
    </w:p>
    <w:p>
      <w:r>
        <w:t>Anche l'accenno al fatto che, per svista (art. 121 lett. d LTF), il Tribunale federale non avrebbe appurato la validità della ratifica di rappresentanza del co-curatore non reggerebbe (al riguardo vedi sentenze 5A_155/2020 del 30 marzo 2020 consid. 1 e 2 e 5D_63/2020 del 14 maggio 2020 consid. 4 nei loro confronti). In effetti, il quesito è stato esaminato, ritenuto inoltre che l'accertata carenza di motivazione del ricorso, presentato con un unico allegato dai ricorrenti, valeva anche per l'istante.</w:t>
      </w:r>
    </w:p>
    <w:p>
      <w:r>
        <w:rPr>
          <w:b/>
        </w:rPr>
        <w:t>E. 4</w:t>
      </w:r>
    </w:p>
    <w:p>
      <w:r>
        <w:t>Del tutto generica, l'istanza di revisione va ritenuta insufficientemente motivata ( art. 42 cpv. 2 LTF ) e dev'essere dichiarata inammissibile. La domanda può essere evasa senza ordinare uno scambio di scritti ( art. 127 LTF ).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