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9/2009 vom 20. April 2009</w:t>
      </w:r>
    </w:p>
    <w:p>
      <w:r>
        <w:t>Bundesgericht, 2009-04-20, DE</w:t>
      </w:r>
    </w:p>
    <w:p>
      <w:r>
        <w:rPr>
          <w:b/>
        </w:rPr>
        <w:t xml:space="preserve">Quelle: </w:t>
      </w:r>
      <w:r>
        <w:t>https://mcp.opencaselaw.ch/entscheid/bger_1F_9_2009</w:t>
      </w:r>
    </w:p>
    <w:p>
      <w:r>
        <w:t>FR: TF 1F 9/2009 du 20 avril 2009</w:t>
      </w:r>
    </w:p>
    <w:p>
      <w:r>
        <w:t>IT: TF 1F 9/2009 del 20 aprile 2009</w:t>
      </w:r>
    </w:p>
    <w:p>
      <w:pPr>
        <w:pStyle w:val="Heading2"/>
      </w:pPr>
      <w:r>
        <w:t>Regeste</w:t>
      </w:r>
    </w:p>
    <w:p>
      <w:r>
        <w:t>Revision des bundesgerichtlichen Urteils 1P.708/710/2006 vom 13. April 2007 | Raumplanung und öffentliches Baurecht</w:t>
      </w:r>
    </w:p>
    <w:p>
      <w:pPr>
        <w:pStyle w:val="Heading2"/>
      </w:pPr>
      <w:r>
        <w:t>Erwägungen</w:t>
      </w:r>
    </w:p>
    <w:p>
      <w:r>
        <w:rPr>
          <w:b/>
        </w:rPr>
        <w:t>E. 1</w:t>
      </w:r>
    </w:p>
    <w:p>
      <w:r>
        <w:t>Das Bundesgericht prüft die Begründetheit des Revisionsgesuchs nach den einschlägigen Art. 121 ff. des BGG, obwohl der Entscheid, dessen Revision beantragt wird, noch gestützt auf das Bundesrechtspflegegesetz vom 16. Dezember 1943 (OG) ergangen ist ( Art. 132 Abs. 1 BGG ; BGE 134 III 45 E. 1 S. 47; nicht publ. E. 1 des Urteils BGE 133 IV 142 ).</w:t>
      </w:r>
    </w:p>
    <w:p>
      <w:r>
        <w:rPr>
          <w:b/>
        </w:rPr>
        <w:t>E. 2.1</w:t>
      </w:r>
    </w:p>
    <w:p>
      <w:r>
        <w:t>Das formgerecht eingereichte ( Art. 42 BGG ) Revisionsgesuch stützt sich auf den Revisionsgrund gemäss Art. 123 Abs. 2 lit. a BGG . Danach kann die Revision eines Entscheids des Bundesgerichts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Fraglich ist, ob die Frist gemäss Art. 124 Abs. 1 lit. d BGG eingehalten wurde: Der Gesuchsteller stellt zur Fristberechnung auf seine Kenntnis der voraussichtlichen Wiederherstellungskosten ab und damit auf eine Kostengrobschätzung vom 20. Februar 2009. Diese Zahlen hätten aber bereits früher erhoben werden können, wie die nachfolgenden Erwägungen zeigen werden. Die Frage kann aber mit Blick auf das Ergebnis offen gelassen werden.</w:t>
      </w:r>
    </w:p>
    <w:p>
      <w:r>
        <w:rPr>
          <w:b/>
        </w:rPr>
        <w:t>E. 2.2</w:t>
      </w:r>
    </w:p>
    <w:p>
      <w:r>
        <w:t>Nach der zum analogen Art. 137 lit. b OG ergangenen, gemäss BGE 134 III 45 E. 2.1 S. 47 weiterhin gültigen Rechtsprechung sind "neue" Tatsachen solche, die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 BGE 110 V 138 E. 2 S. 141; 108 V 170 E. 1 S. 171; ferner nicht publ. E. 4.1 des Urteils 134 III 286).</w:t>
      </w:r>
    </w:p>
    <w:p>
      <w:r>
        <w:rPr>
          <w:b/>
        </w:rPr>
        <w:t>E. 2.3</w:t>
      </w:r>
    </w:p>
    <w:p>
      <w:r>
        <w:t>Der Gesuchsteller führt aus, die gesamten Rückbaukosten würden aufgrund von Schätzungen durch Experten nun auf rund Fr. 480'000.-- zu stehen kommen. In den letzen Tagen und Wochen sei ihm darum bewusst geworden, dass die Wiederherstellungskosten insgesamt zwischen 25 und 30 % der Gesamtkosten betragen würden. Dies sei nicht mehr verhältnismässig. Er macht sinngemäss geltend, erst mit dem Rückbauentscheid (Baubewilligung vom 9. Januar 2009) und den hierauf eingeholten Schätzungen seien diese Kosten evident geworden. Weder im kantonalen noch im bundesgerichtlichen Verfahren habe er Anlass gehabt, die vom kantonalen Hochbauamt genannte Summe von Fr. 200'000.-- zu verifizieren resp. zu bestreiten. Zudem habe das fertig gebaute "Baumhaus" zahlreiche Preise und Auszeichnungen erhalten.</w:t>
      </w:r>
    </w:p>
    <w:p>
      <w:r>
        <w:rPr>
          <w:b/>
        </w:rPr>
        <w:t>E. 2.4</w:t>
      </w:r>
    </w:p>
    <w:p>
      <w:r>
        <w:t>Was der Gesuchsteller vorbringt, stellt keinen Revisionsgrund im Sinne von Art. 124 Abs. 2 lit. a BGG dar. Schon im kantonalen Verfahren wie auch vor Bundesgericht war ein zentraler Punkt, den es zu beurteilen galt, ob die Wiederherstellung des rechtmässigen Zustandes verhältnismässig sei. Und bereits im zur Diskussion stehenden Urteil vom 13. April 2007 hat das Bundesgericht in E. 5.4 festgehalten, dass die vom Hochbauamt im kantonalen Verfahren geschätzten Wiederherstellungskosten nie bestritten worden seien. Der Gesuchsteller und die Grundstückseigentümer hätten aber jeden Grund gehabt, diese Schätzung in Abrede zu stellen und konkrete Zahlen zu präsentieren, um die von ihnen behauptete Unverhältnismässigkeit zu belegen. Sie konnten sich nicht darauf verlassen, dass das Verwaltungs- bzw. das Bundesgericht von einer Wiederherstellung absehen würden. Die heute präsentierten Expertenberichte hätten ohne Weiteres bereits im damaligen Zeitpunkt eingeholt werden können. Es obliegt den Prozessparteien, rechtzeitig und prozesskonform zur Klärung des Sachverhalts entsprechend ihrer Beweispflicht beizutragen (ELISABETH ESCHER in: Basler Kommentar zum BGG, Basel 2008, N. 8 zu Art. 123). Dass das Haus inzwischen verschiedentlich ausgezeichnet worden ist, ist im vorliegenden Zusammenhang unerheblich (siehe bereits E. 5.5.2 im Urteil 1P.708/2006 bzw. 1P.710/2006 vom 13. April 2007).</w:t>
      </w:r>
    </w:p>
    <w:p>
      <w:r>
        <w:rPr>
          <w:b/>
        </w:rPr>
        <w:t>E. 3</w:t>
      </w:r>
    </w:p>
    <w:p>
      <w:r>
        <w:t>Nach dem Gesagten vermögen die neu vorgelegten Zahlen des Gesuchstellers kein vom Haupturteil abweichendes Ergebnis zu begründen. Ein Revisionsgrund im Sinne von Art. 123 Abs. 2 lit. a BGG liegt nicht vor, weshalb das Gesuch abzuweisen ist, soweit darauf eingetreten werden kann. Damit wird auch das Gesuch um aufschiebende Wirkung gegenstandslos. Die Gerichtskosten sind dem Gesuchsteller als unterliegender Partei aufzuerlegen ( Art. 66 Abs. 1 BGG ). Parteientschädigungen sind keine zuzusprechen, da in Anwendung von Art. 127 BGG auf die Durchführung eines Vernehmlassungsverfahrens verzichtet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