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1F_8/2025 vom 6. März 2025</w:t>
      </w:r>
    </w:p>
    <w:p>
      <w:r>
        <w:t>Bundesgericht, 2025-03-06, DE</w:t>
      </w:r>
    </w:p>
    <w:p>
      <w:r>
        <w:rPr>
          <w:b/>
        </w:rPr>
        <w:t xml:space="preserve">Quelle: </w:t>
      </w:r>
      <w:r>
        <w:t>https://mcp.opencaselaw.ch/entscheid/bger_1F_8_2025</w:t>
      </w:r>
    </w:p>
    <w:p>
      <w:r>
        <w:t>FR: TF 1F_8/2025 du 6 mars 2025</w:t>
      </w:r>
    </w:p>
    <w:p>
      <w:r>
        <w:t>IT: TF 1F_8/2025 del 6 marzo 2025</w:t>
      </w:r>
    </w:p>
    <w:p>
      <w:pPr>
        <w:pStyle w:val="Heading2"/>
      </w:pPr>
      <w:r>
        <w:t>Erwägungen</w:t>
      </w:r>
    </w:p>
    <w:p>
      <w:r>
        <w:rPr>
          <w:b/>
        </w:rPr>
        <w:t>E. 1</w:t>
      </w:r>
    </w:p>
    <w:p>
      <w:r>
        <w:t>Mit Entscheid vom 22. Oktober 2024 verweigerte die Anklagekammer des Kantons St. Gallen die Ermächtigung zur Eröffnung eines Strafverfahrens gegen nicht näher bezeichnete Behörden und Beamte ("Unbekannt"). Dagegen erhob der Anzeigeerstatter A.________ Beschwerde beim Bundesgericht. Mit Urteil 1C_630/2024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1C_630/2024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1C_630/2024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unter anderem erneut Kritik an der Kostenauflage im Urteil 1C_630/2024 sowie in fünf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