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1F_8/2017 vom 20. März 2017</w:t>
      </w:r>
    </w:p>
    <w:p>
      <w:r>
        <w:t>Bundesgericht, 2017-03-20, DE</w:t>
      </w:r>
    </w:p>
    <w:p>
      <w:r>
        <w:rPr>
          <w:b/>
        </w:rPr>
        <w:t xml:space="preserve">Quelle: </w:t>
      </w:r>
      <w:r>
        <w:t>https://mcp.opencaselaw.ch/entscheid/bger_1F_8_2017</w:t>
      </w:r>
    </w:p>
    <w:p>
      <w:r>
        <w:t>FR: TF 1F_8/2017 du 20 mars 2017</w:t>
      </w:r>
    </w:p>
    <w:p>
      <w:r>
        <w:t>IT: TF 1F_8/2017 del 20 marzo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Urteil vom 29. November 2016 ist das Bundesgericht auf eine von A.________ betreffend (Nicht-) Ermächtigung zur Eröffnung einer Strafuntersuchung erhobene Beschwerde nicht eingetreten (Verfahren 1C_558/2016), weil diese den gesetzlichen Formerfordernissen ( Art. 42 Abs. 2 BGG ) nicht zu genügen vermochte.</w:t>
      </w:r>
    </w:p>
    <w:p>
      <w:r>
        <w:t>Mit Eingaben vom 20. Februar/12. März 2017 beanstandet A.________ dieses bundesgerichtliche Urteil und verlangt dessen Revision.</w:t>
      </w:r>
    </w:p>
    <w:p>
      <w:r>
        <w:rPr>
          <w:b/>
        </w:rPr>
        <w:t>E. 2</w:t>
      </w:r>
    </w:p>
    <w:p>
      <w:r>
        <w:t>Die Aufhebung oder Abänderung eines wie hier in Rechtskraft erwachsenen Bundesgerichtsurteils ist nur bei Vorliegen eines Revisionsgrundes möglich ( Art. 121 ff. BGG ).</w:t>
      </w:r>
    </w:p>
    <w:p>
      <w:r>
        <w:t>Der Gesuchsteller beanstandet das bundesgerichtliche Urteil vom 29. November 2016 bzw. das zugrunde liegende kantonale Verfahren. Er unterlässt es allerdings, in Bezug auf den in Anwendung von Art. 42 Abs. 2 BGG ergangenen Nichteintretensentscheid einen der gesetzlichen Revisionsgründe ( Art. 121 ff. BGG ) darzulegen. Was er mit seinen Eingaben vorbringt, beschränkt sich im Wesentlichen auf eine appellatorische, im Revisionsverfahren nicht zu hörende Kritik am Ausgang des vorangegangenen bundesgerichtlichen bzw. kantonalen Verfahrens.</w:t>
      </w:r>
    </w:p>
    <w:p>
      <w:r>
        <w:t>Da der Gesuchsteller es somit unterlassen hat, in Bezug auf den genannten Nichteintretensentscheid einen der gesetzlichen Revisionsgründe anzurufen, ist auf das Revisionsgesuch ohne Schriftenwechsel ( Art. 127 BGG ) nicht einzutreten.</w:t>
      </w:r>
    </w:p>
    <w:p>
      <w:r>
        <w:rPr>
          <w:b/>
        </w:rPr>
        <w:t>E. 3</w:t>
      </w:r>
    </w:p>
    <w:p>
      <w:r>
        <w:t>Dem Ausgang des Verfahrens entsprechend sind die bundesgerichtlichen Kosten dem Gesuchsteller aufzuerlegen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