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7/2012 vom 4. April 2012</w:t>
      </w:r>
    </w:p>
    <w:p>
      <w:r>
        <w:t>Bundesgericht, 2012-04-04, DE</w:t>
      </w:r>
    </w:p>
    <w:p>
      <w:r>
        <w:rPr>
          <w:b/>
        </w:rPr>
        <w:t xml:space="preserve">Quelle: </w:t>
      </w:r>
      <w:r>
        <w:t>https://mcp.opencaselaw.ch/entscheid/bger_1F_7_2012</w:t>
      </w:r>
    </w:p>
    <w:p>
      <w:r>
        <w:t>FR: TF 1F 7/2012 du 4 avril 2012</w:t>
      </w:r>
    </w:p>
    <w:p>
      <w:r>
        <w:t>IT: TF 1F 7/2012 del 4 aprile 2012</w:t>
      </w:r>
    </w:p>
    <w:p>
      <w:pPr>
        <w:pStyle w:val="Heading2"/>
      </w:pPr>
      <w:r>
        <w:t>Regeste</w:t>
      </w:r>
    </w:p>
    <w:p>
      <w:r>
        <w:t>Erneuerung des Gesuchs um unentgeltliche Rechtspflege und Verbeiständung im Verfahren 1B_435/2011 | Strafprozess</w:t>
      </w:r>
    </w:p>
    <w:p>
      <w:pPr>
        <w:pStyle w:val="Heading2"/>
      </w:pPr>
      <w:r>
        <w:t>Erwägungen</w:t>
      </w:r>
    </w:p>
    <w:p>
      <w:r>
        <w:rPr>
          <w:b/>
        </w:rPr>
        <w:t>E. 1</w:t>
      </w:r>
    </w:p>
    <w:p>
      <w:r>
        <w:t>Nach der bundesgerichtlichen Praxis besteht die Möglichkeit, auf Gesuch nachträglich über die unentgeltliche Verbeiständung zu entscheiden und die aus der Bundesgerichtskasse zu entrichtende Entschädigung festzusetzen, sofern sich die Parteientschädigung als uneinbringlich erweist und daher nicht zur Bezahlung des amtlichen Anwalts verwendet werden kann (Urteil 1F_32/2011 vom 18. November 2011 E. 1 mit Hinweisen; vgl. auch THOMAS GEISER, Basler Kommentar zum BGG, 2. Aufl., 2011, Art. 64 N. 38). A.________ hatte bereits im Hauptverfahren ein Gesuch um unentgeltliche Verbeiständung gestellt. Die Voraussetzungen für die unentgeltliche Rechtspflege und Verbeiständung gemäss Art. 64 Abs. 1 und 2 BGG lagen schon damals vor. Das Bundesgericht ging allerdings davon aus, dass der Anwalt der unentgeltlich verbeiständeten Partei aus der zugesprochenen Parteientschädigung entschädigt werden würde. Gemäss Art. 64 Abs. 2 Satz 2 BGG steht dem Anwalt ein Anspruch auf eine angemessene Entschädigung aus der Gerichtskasse zu, soweit der Aufwand für die Vertretung nicht aus der zugesprochenen Parteientschädigung gedeckt werden kann. Dieser Fall tritt nicht nur ein, wenn sich die Parteientschädigung als uneinbringlich erweist, sondern auch, wenn die Gegenpartei die von ihr geschuldete Parteientschädigung mit eigenen Forderungen gegen die unentgeltlich verbeiständete Partei verrechnet. In beiden Fällen hat der Anwalt der bedürftigen Partei kein Honorar erhalten, weshalb sein Anspruch gegenüber der Gerichtskasse bestehen bleibt. Wurde die Entschädigung wie im zu beurteilenden Fall bereits im Hauptverfahren festgesetzt, kann der Anwalt deren Auszahlung verlangen (Urteil 1F_32/2011 vom 18. November 2011 E. 1).</w:t>
      </w:r>
    </w:p>
    <w:p>
      <w:r>
        <w:rPr>
          <w:b/>
        </w:rPr>
        <w:t>E. 2</w:t>
      </w:r>
    </w:p>
    <w:p>
      <w:r>
        <w:t>Nach dem Gesagten ist das Gesuch um unentgeltliche Verbeiständung gutzuheissen. Der Gesuchsteller ist antragsgemäss für das Hauptverfahren mit Fr. 1'500.-- und für das nachträgliche Verfahren mit Fr. 300.-- aus der Bundesgerichtskasse zu entschädigen. Gerichtskosten sind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