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1F_7/2011 vom 28. März 2011</w:t>
      </w:r>
    </w:p>
    <w:p>
      <w:r>
        <w:t>Bundesgericht, 2011-03-28, FR</w:t>
      </w:r>
    </w:p>
    <w:p>
      <w:r>
        <w:rPr>
          <w:b/>
        </w:rPr>
        <w:t xml:space="preserve">Quelle: </w:t>
      </w:r>
      <w:r>
        <w:t>https://mcp.opencaselaw.ch/entscheid/bger_1F_7_2011</w:t>
      </w:r>
    </w:p>
    <w:p>
      <w:r>
        <w:t>FR: TF 1F_7/2011 du 28 mars 2011</w:t>
      </w:r>
    </w:p>
    <w:p>
      <w:r>
        <w:t>IT: TF 1F_7/2011 del 28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6 novembre 2010, le Juge de police de l'arrondissement de la Sarine a refusé d'accorder à A.________, alors en détention provisoire à la Prison centrale de Fribourg, le congé qu'il avait sollicité pour les 11 et 12 décembre 2010.</w:t>
      </w:r>
    </w:p>
    <w:p>
      <w:r>
        <w:t>Par arrêt du 7 janvier 2011, la Chambre pénale du Tribunal cantonal du canton de Fribourg a constaté que le recours interjeté contre cette décision par A.________ le 13 décembre 2010 était sans objet et a rayé la cause du rôle.</w:t>
      </w:r>
    </w:p>
    <w:p>
      <w:r>
        <w:t>Le 17 février 2011, le Tribunal fédéral a déclaré irrecevable le recours formé par A.________ contre cet arrêt (cause 1B_56/2011).</w:t>
      </w:r>
    </w:p>
    <w:p>
      <w:r>
        <w:t>Le 14 mars 2011, A.________ a demandé au Tribunal fédéral de revoir l'arrêt précité du 17 février 2011 dont il conteste la teneur dans son intégralité.</w:t>
      </w:r>
    </w:p>
    <w:p>
      <w:r>
        <w:t>Il n'a pas été ordonné d'échange d'écritures.</w:t>
      </w:r>
    </w:p>
    <w:p>
      <w:r>
        <w:rPr>
          <w:b/>
        </w:rPr>
        <w:t>E. 2</w:t>
      </w:r>
    </w:p>
    <w:p>
      <w:r>
        <w:t>La révision d'un arrêt du Tribunal fédéral peut être demandée pour les motifs énumérés aux art. 121 à 123 LTF. En l'occurrence, on cherche en vain l'indication d'un des motifs de révision ainsi prévus par la loi dans l'écriture du requérant du 14 mars 2011. Celui-ci se borne à contester "de A à Z" le contenu de l'arrêt rendu par le Tribunal fédéral le 17 février 2011 dans la cause 1B_56/2011. Les deux exemples qu'il cite dans son écriture, susceptibles de tomber sous le coup de l' art. 121 let . d LTF concernent un autre arrêt rendu par le Tribunal fédéral le même jour dans la cause 1B_22/2011 et font l'objet d'un examen séparé (cause 1F_6/2011). La demande de révision ne satisfait ainsi pas aux exigences de motivation déduites de l' art. 42 al. 2 LTF , qui s'appliquent aussi en ce domaine (arrêt 6F_19/2009 du 27 octobre 2009 consid. 1.3), en tant qu'elle vise l'arrêt du Tribunal fédéral rendu dans la cause 1B_56/2011 et doit être déclarée irrecevable.</w:t>
      </w:r>
    </w:p>
    <w:p>
      <w:r>
        <w:rPr>
          <w:b/>
        </w:rPr>
        <w:t>E. 3</w:t>
      </w:r>
    </w:p>
    <w:p>
      <w:r>
        <w:t>Le requérant, qui succombe, supportera les frais judiciaires de la présente procédure (art. 65 et 66 al. 1, 1ère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