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1F_5/2024 vom 12. Februar 2024</w:t>
      </w:r>
    </w:p>
    <w:p>
      <w:r>
        <w:t>Bundesgericht, 2024-02-12, DE</w:t>
      </w:r>
    </w:p>
    <w:p>
      <w:r>
        <w:rPr>
          <w:b/>
        </w:rPr>
        <w:t xml:space="preserve">Quelle: </w:t>
      </w:r>
      <w:r>
        <w:t>https://mcp.opencaselaw.ch/entscheid/bger_1F_5_2024</w:t>
      </w:r>
    </w:p>
    <w:p>
      <w:r>
        <w:t>FR: TF 1F_5/2024 du 12 février 2024</w:t>
      </w:r>
    </w:p>
    <w:p>
      <w:r>
        <w:t>IT: TF 1F_5/2024 del 12 febbraio 2024</w:t>
      </w:r>
    </w:p>
    <w:p>
      <w:pPr>
        <w:pStyle w:val="Heading2"/>
      </w:pPr>
      <w:r>
        <w:t>Erwägungen</w:t>
      </w:r>
    </w:p>
    <w:p>
      <w:r>
        <w:rPr>
          <w:b/>
        </w:rPr>
        <w:t>E. 1</w:t>
      </w:r>
    </w:p>
    <w:p>
      <w:r>
        <w:t>Mit Urteil 1C_623/2023 vom 12. Dezember 2023 trat das Bundesgericht im vereinfachten Verfahren nach Art. 108 Abs. 1 BGG nicht auf die Beschwerde von A.________ gegen den Entscheid der Anklagekammer des Kantons St. Gallen vom 2. November 2023 ein, mit welchem diese die Ermächtigung zur Eröffnung von Strafverfahren gegen Mitarbeiterinnen und Mitarbeiter des kantonalen Strassenverkehrs- und Schifffahrtsamts verweigert hatte. Es hielt fest, aus den teilweise eigenartigen und kaum nachvollziehbaren oder unverständlichen Vorbringen von A.________ gehe nicht ansatzweise hervor, inwiefern der Entscheid der Anklagekammer Recht im Sinne von Art. 42 Abs. 2 BGG verletzen solle. Die Beschwerde genüge den Begründungsanforderungen offensichtlich nicht.</w:t>
      </w:r>
    </w:p>
    <w:p>
      <w:r>
        <w:rPr>
          <w:b/>
        </w:rPr>
        <w:t>E. 2</w:t>
      </w:r>
    </w:p>
    <w:p>
      <w:r>
        <w:t>Mit als "Beschwerde" bezeichneter Eingabe vom 2. Februar 2024 beantragt A.________ beim Bundesgericht die Aufhebung des Urteils 1C_623/2023 vom 12. Dezember 2023. Zudem stellt sie den Antrag, sie sei "als natürliche Person wegen fehlender Passivlegitimation aus dem Verfahren zu entlassen".</w:t>
      </w:r>
    </w:p>
    <w:p>
      <w:r>
        <w:rPr>
          <w:b/>
        </w:rPr>
        <w:t>E. 3</w:t>
      </w:r>
    </w:p>
    <w:p>
      <w:r>
        <w:t>Das Urteil 1C_623/2023 vom 12. Dezember 2023 ist in Rechtskraft erwachsen. Die Aufhebung oder Abänderung eines rechtskräftigen Bundesgerichtsurteils ist nur bei Vorliegen eines Revisionsgrundes möglich. Die Eingabe von A.________ ist somit als Revisionsgesuch zu behandeln.</w:t>
      </w:r>
    </w:p>
    <w:p>
      <w:r>
        <w:rPr>
          <w:b/>
        </w:rPr>
        <w:t>E. 4</w:t>
      </w:r>
    </w:p>
    <w:p>
      <w:r>
        <w:t>Die Gesuchstellerin begründet ihren Antrag auf Aufhebung des Urteils 1C_623/2023 vom 12. Dezember 2023 damit, es liege ein gravierender Formfehler vor. Die Unterschriften der Richter unter dem angefochtenen Urteil seien nicht korrekt und lesbar. Es seien lediglich die Namen des Präsidenten und des Gerichtsschreibers handschriftlich vermerkt, jedoch fehlten die rechtlich erforderlichen eigenhändigen und vollständigen Unterschriften.</w:t>
      </w:r>
    </w:p>
    <w:p>
      <w:r>
        <w:t>Inwiefern das Urteil 1C_623/2023 nicht rechtsgültig unterzeichnet sein sollte, obschon - wie die Gesuchstellerin dem Sinn nach letztlich selber einräumt - der (Abteilungs-) Präsident und der Gerichtsschreiber es handschriftlich unterschrieben haben, erschliesst sich nicht (vgl. Art. 47 Abs. 2 des Reglements vom 20. November 2006 für das Bundesgericht [BGerR; SR 173.110.131]). Die betreffende Kritik der Gesuchstellerin ist nicht nachvollziehbar bzw. unhaltbar. Dasselbe gilt für ihr Vorbringen, sie sei wegen "fehlender Passivlegitimation aus dem Verfahren zu entlassen" bzw. die "Beschwerde" richte sich gegen eine "undefinierte juristische Person", zu der sie "als natürliche Person keine Verbindung" habe. Die Gesuchstellerin beruft sich sodann auf keinen Revisionsgrund gemäss Art. 121 ff. BGG . Auch sonst geht aus ihrer Eingabe nicht ansatzweise hervor, inwiefern ein solcher Revisionsgrund vorliegen sollte.</w:t>
      </w:r>
    </w:p>
    <w:p>
      <w:r>
        <w:t>Damit ist auf das Revisionsgesuch ohne Schriftenwechsel ( Art. 127 BGG ) nicht einzutreten. Das Bundesgericht behält sich im Weiteren vor, inskünftig ähnliche Eingaben in der vorliegenden Angelegenheit formlos abzulegen.</w:t>
      </w:r>
    </w:p>
    <w:p>
      <w:r>
        <w:rPr>
          <w:b/>
        </w:rPr>
        <w:t>E. 5</w:t>
      </w:r>
    </w:p>
    <w:p>
      <w:r>
        <w:t>Bei diesem Verfahrensausgang ist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