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1F_47/2014 vom 27. November 2014</w:t>
      </w:r>
    </w:p>
    <w:p>
      <w:r>
        <w:t>Bundesgericht, 2014-11-27, FR</w:t>
      </w:r>
    </w:p>
    <w:p>
      <w:r>
        <w:rPr>
          <w:b/>
        </w:rPr>
        <w:t xml:space="preserve">Quelle: </w:t>
      </w:r>
      <w:r>
        <w:t>https://mcp.opencaselaw.ch/entscheid/bger_1F_47_2014</w:t>
      </w:r>
    </w:p>
    <w:p>
      <w:r>
        <w:t>FR: TF 1F_47/2014 du 27 novembre 2014</w:t>
      </w:r>
    </w:p>
    <w:p>
      <w:r>
        <w:t>IT: TF 1F_47/2014 del 27 novembre 2014</w:t>
      </w:r>
    </w:p>
    <w:p>
      <w:pPr>
        <w:pStyle w:val="Heading2"/>
      </w:pPr>
      <w:r>
        <w:t>Erwägungen</w:t>
      </w:r>
    </w:p>
    <w:p>
      <w:r>
        <w:rPr>
          <w:b/>
        </w:rPr>
        <w:t>E. 1</w:t>
      </w:r>
    </w:p>
    <w:p>
      <w:r>
        <w:t>La révision d'un arrêt du Tribunal fédéral peut être demandée pour les motifs mentionnés aux art. 121 à 123 LTF, en particulier si le Tribunal n'a pas statué sur certaines conclusions ( art. 121 let . c LTF) ou si, par inadvertance, il n'a pas pris en considération des faits pertinents qui ressortent du dossier ( art. 121 let . d LTF). Le délai de 30 jours pour invoquer de tels motifs a été respecté ( art. 124 al. 1 let. b LTF ).</w:t>
      </w:r>
    </w:p>
    <w:p>
      <w:r>
        <w:rPr>
          <w:b/>
        </w:rPr>
        <w:t>E. 2</w:t>
      </w:r>
    </w:p>
    <w:p>
      <w:r>
        <w:t>Aux termes de l' art. 121 let . d LTF, la révision d'un arrêt du Tribunal fédéral peut être demandée lorsque, par inadvertance, le tribunal n'a pas pris en considération des faits pertinents qui ressortent du dossier. Le motif de révision prévu à cette disposition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soit non seulement de la décision attaquée, mais aussi de l'ensemble des actes de procédure comprenant le dossier complet de l'autorité cantonale ou inférieure et les mémoires et pièces adressés au Tribunal fédéral dans la mesure où ils sont recevables (arrêts 4F_4/2013 du 6 juin 2013 consid. 1 et 5F_3/2009 du 21 octobre 2009 consid. 3.1). L'inadvertance suppose que le Tribunal fédéral ait dû prendre en considération le fait dont on lui reproche de ne pas avoir tenu compte (arrêt 1F_35/2013 du 18 décembre 2013 consid. 2.1; cf. ATF 115 II 399 consid. 2a p. 400) et que ce fait soit pertinent, c'est-à-dire qu'il soit susceptible d'entraîner une décision différente de celle qui a été prise et plus favorable au requérant. La révision n'entre pas en considération lorsque le juge a sciemment refusé de tenir compte d'un certain fait, parce qu'il le tenait pour non décisif; dans ce cas, le refus relève en effet du droit (arrêt 1F_16/2008 du 11 août 2008 consid. 3 in SJ 2008 I p. 465).</w:t>
      </w:r>
    </w:p>
    <w:p>
      <w:r>
        <w:rPr>
          <w:b/>
        </w:rPr>
        <w:t>E. 2.1</w:t>
      </w:r>
    </w:p>
    <w:p>
      <w:r>
        <w:t>Le requérant se méprend lorsqu'il affirme que le Tribunal fédéral aurait par inadvertance omis de prendre en considération des faits pertinents ressortant du dossier en ne procédant pas à la comparaison entre la fiche de réception par type du véhicule au volant duquel il se trouvait (CH3RA213) avec celle d'un modèle du même constructeur prévu pour supporter un poids supérieur à 3'500 kg (CH3RA218). En effet, si la Cour de céans a retenu l'existence de ces deux fiches de réception par type, elle n'a cependant pas procédé à la comparaison requise, non par inadvertance, mais en considérant que son résultat n'était pas décisif sous l'angle de la mise en danger (cf. consid. 2.1 et 3.2 de l'arrêt attaqué). Dès lors qu'il s'agit d'une appréciation juridique, elle ne peut être remise en cause par le biais de la procédure de révision ( art. 121 let . d LTF).</w:t>
      </w:r>
    </w:p>
    <w:p>
      <w:r>
        <w:rPr>
          <w:b/>
        </w:rPr>
        <w:t>E. 3</w:t>
      </w:r>
    </w:p>
    <w:p>
      <w:r>
        <w:t>Sur le vu de ce qui précède, la demande de révision doit être rejetée dans la mesure de sa recevabilité, sans autre mesure d'instruction (cf. art. 127 LTF ). La présente décision prive d'objet la requête d'effet suspensif. Les frais du présent arrêt doivent être mis à la charge du requérant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