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1F_43/2014 vom 8. Dezember 2014</w:t>
      </w:r>
    </w:p>
    <w:p>
      <w:r>
        <w:t>Bundesgericht, 2014-12-08, FR</w:t>
      </w:r>
    </w:p>
    <w:p>
      <w:r>
        <w:rPr>
          <w:b/>
        </w:rPr>
        <w:t xml:space="preserve">Quelle: </w:t>
      </w:r>
      <w:r>
        <w:t>https://mcp.opencaselaw.ch/entscheid/bger_1F_43_2014</w:t>
      </w:r>
    </w:p>
    <w:p>
      <w:r>
        <w:t>FR: TF 1F_43/2014 du 8 décembre 2014</w:t>
      </w:r>
    </w:p>
    <w:p>
      <w:r>
        <w:t>IT: TF 1F_43/2014 del 8 dicembre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révision du 3 novembre 2014 vise deux arrêts distincts du Tribunal fédéral et, en conséquence, deux dossiers ont été ouverts. Toutefois, le requérant demande la jonction des causes et a déposé sa requête dans une seule et même écriture, si bien qu'il se justifie de joindre les deux causes et il sera statué dans un seul arrêt.</w:t>
      </w:r>
    </w:p>
    <w:p>
      <w:r>
        <w:rPr>
          <w:b/>
        </w:rPr>
        <w:t>E. 2.1</w:t>
      </w:r>
    </w:p>
    <w:p>
      <w:r>
        <w:t>La révision d'un arrêt du Tribunal fédéral peut être demandée lorsqu'une procédure pénale établit que l'arrêt a été influencé au préjudice du requérant par un crime ou un délit, même si aucune condamnation n'est intervenue ( art. 123 al. 1 1</w:t>
      </w:r>
    </w:p>
    <w:p>
      <w:r>
        <w:t>ère phrase LTF). Fondée sur ce motif, elle doit être déposée dans les 90 jours qui suivent la découverte de celui-ci ( art. 124 al. 1 let . d LTF). Le délai court dès que le requérant a connaissance de la condamnation passée en force ou, si cette dernière n'est plus possible, dès qu'il apprend l'existence de l'infraction et les preuves de celle-ci (arrêts 4F_15/2008 du 20 novembre 2013 consid. 1.1; 4A_666/2012 du 3 juin 2013 consid. 5.1 et l'arrêt cité).</w:t>
      </w:r>
    </w:p>
    <w:p>
      <w:r>
        <w:rPr>
          <w:b/>
        </w:rPr>
        <w:t>E. 2.2</w:t>
      </w:r>
    </w:p>
    <w:p>
      <w:r>
        <w:t>En l'occurrence, le requérant ne prétend pas que l'instruction de la plainte pénale qu'il a déposée le 25 juin 2014 contre le Procureur général serait achevée; il ne produit d'ailleurs aucune pièce qui attesterait d'un jugement de condamnation entré en forcé. Il ne prétend pas non plus que la procédure pénale qu'il a introduite ne serait pas en mesure d'être menée à terme et d'aboutir à une décision de la part d'une autorité pénale; la nomination d'un procureur ad hoc démontre au contraire que cette cause est en cours d'instruction.</w:t>
      </w:r>
    </w:p>
    <w:p>
      <w:r>
        <w:t>Il en découle que l'une des conditions de recevabilité d'une demande de révision fondée sur l' art. 123 al. 1 LTF n'est pas remplie et, partant, il n'y a pas lieu d'entrer en matière.</w:t>
      </w:r>
    </w:p>
    <w:p>
      <w:r>
        <w:rPr>
          <w:b/>
        </w:rPr>
        <w:t>E. 2.3</w:t>
      </w:r>
    </w:p>
    <w:p>
      <w:r>
        <w:t>L'irrecevabilité des requêtes permet également de rejeter les demandes d'effet suspensif et de suspension de la procédure.</w:t>
      </w:r>
    </w:p>
    <w:p>
      <w:r>
        <w:rPr>
          <w:b/>
        </w:rPr>
        <w:t>E. 3</w:t>
      </w:r>
    </w:p>
    <w:p>
      <w:r>
        <w:t>Il s'ensuit que les demandes de révision de l'arrêt 1F_20/2014 et 1F_21/2014 du 23 juillet 2014, ainsi que de celui 1B_202/2014 du 23 juillet 2014 sont irrecevables.</w:t>
      </w:r>
    </w:p>
    <w:p>
      <w:r>
        <w:t>Dans l'hypothèse où la lettre du 24 novembre 2014 peut être considérée comme une demande d'assistance judiciaire valant également pour cette cause - le requérant ayant d'ailleurs été exempté de procéder à une avance de frais -, cette requête doit être rejetée. En effet, contrairement à ce que soutient le recourant, l'éventuelle violation de ses droits de la personnalité qui y est alléguée ne le dispensent pas de démontrer en quoi les conditions de l' art. 64 al. 1 LTF seraient réalisées.</w:t>
      </w:r>
    </w:p>
    <w:p>
      <w:r>
        <w:t>Le requérant, qui succombe, supporte donc les frais judiciaires ( art. 66 al. 1 LTF ). Il n'y a en effet pas lieu de s'écarter de la règle générale dès lors que la demande de révision - certes formulée dans une même écriture - se rapporte à deux arrêts du Tribunal fédéral, dont l'un concernait déjà une telle requête par rapport à deux autres arrêts (cf. 1F_20/2014 et 1F_21/2014). Il n'est pas alloué de dépens ( art. 68 al. 1 LTF ).</w:t>
      </w:r>
    </w:p>
    <w:p>
      <w:r>
        <w:t>Le requérant est en outre averti que toute nouvelle démarche du même genre sera à l'avenir classée, sans réponse.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