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33/2017 vom 23. August 2017</w:t>
      </w:r>
    </w:p>
    <w:p>
      <w:r>
        <w:t>Bundesgericht, 2017-08-23, FR</w:t>
      </w:r>
    </w:p>
    <w:p>
      <w:r>
        <w:rPr>
          <w:b/>
        </w:rPr>
        <w:t xml:space="preserve">Quelle: </w:t>
      </w:r>
      <w:r>
        <w:t>https://mcp.opencaselaw.ch/entscheid/bger_1F_33_2017</w:t>
      </w:r>
    </w:p>
    <w:p>
      <w:r>
        <w:t>FR: TF 1F 33/2017 du 23 août 2017</w:t>
      </w:r>
    </w:p>
    <w:p>
      <w:r>
        <w:t>IT: TF 1F 33/2017 del 23 agosto 2017</w:t>
      </w:r>
    </w:p>
    <w:p>
      <w:pPr>
        <w:pStyle w:val="Heading2"/>
      </w:pPr>
      <w:r>
        <w:t>Regeste</w:t>
      </w:r>
    </w:p>
    <w:p>
      <w:r>
        <w:t>Demande de révision de l'arrêt du Tribunal fédéral 1B_319/2017 du 26 juillet 2017 | Procédure pénale</w:t>
      </w:r>
    </w:p>
    <w:p>
      <w:pPr>
        <w:pStyle w:val="Heading2"/>
      </w:pPr>
      <w:r>
        <w:t>Erwägungen</w:t>
      </w:r>
    </w:p>
    <w:p>
      <w:r>
        <w:rPr>
          <w:b/>
        </w:rPr>
        <w:t>E. 1</w:t>
      </w:r>
    </w:p>
    <w:p>
      <w:r>
        <w:t>Le 1er mars 2017, le Ministère public de la Confédération a ordonné le séquestre d'un compte bancaire détenu par B.________ AG auprès de C.________ SA. Par décision du 3 juillet 2017, la Cour des plaintes du Tribunal pénal fédéral a déclaré irrecevable le recours interjeté par A.________ contre cette décision, faute de qualité pour agir. Par arrêt du 26 juillet 2017, le Tribunal fédéral a déclaré irrecevable le recours interjeté par le prénommé contre la décision du 3 juillet 2017 (cause 1B_319/2017).</w:t>
      </w:r>
    </w:p>
    <w:p>
      <w:r>
        <w:rPr>
          <w:b/>
        </w:rPr>
        <w:t>E. 2</w:t>
      </w:r>
    </w:p>
    <w:p>
      <w:r>
        <w:t>Par acte du 17 août 2017, A.________ demande la révision de l'arrêt du Tribunal fédéral du 26 juillet 2017. Il n'a pas été ordonné d'échange d'écritures.</w:t>
      </w:r>
    </w:p>
    <w:p>
      <w:r>
        <w:rPr>
          <w:b/>
        </w:rPr>
        <w:t>E. 3</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1F_16/2016 du 25 juillet 2016 consid. 3). Il incombe ainsi au requérant de mentionner le motif de révision dont il se prévaut et d'expliquer en quoi ce motif serait réalisé sous peine de voir sa demande déclarée irrecevable. 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relation avec l' art. 410 al. 1 let. a CPP ) ou si la décision est en contradiction flagrante avec une décision pénale rendue postérieurement sur les mêmes faits ( art. 123 al. 2 let. b LTF en relation avec l' art. 410 al. 1 let. b CPP ). En l'occurrence, A.________ demande la révision en raison d'une erreur fondamentale ( Grundlagenirrtum ). Il soutient que c'est à tort que la qualité pour agir lui a été déniée par le Tribunal pénal fédéral. Il expose aussi longuement les conditions théoriques de la mise sous séquestre et de la confiscation. Il ne rattache cependant son exposé à aucun motif de révision, de sorte que sa requête doit être déclarée irrecevable pour cette raison. Au demeurant, il s'agit là d'une critique de la motivation de l'arrêt litigieux qui n'entre pas dans les prévisions de l' art. 121 LTF . En réalité, l'argumentation du requérant ne porte que sur l'appréciation juridique, ce qui ne constitue pas un motif de révision au sens de la LTF. La procédure de révision n'est en effet pas destinée à ouvrir un nouveau débat sur le bien-fondé de la décision entreprise (arrêt 5F_5/2016 du 2 mai 2016 consid. 1.1); elle ne saurait être utilisée aux fins de remettre en question la solution juridique adoptée par le Tribunal fédéral, comme le requérant tente de le faire tout au long de sa requête (arrêt 5F_7/2012 du 7 septembre 2012 consid. 2.3; ATF 96 I 279 consid. 3; ELISABETH ESCHER, in Basler Kommentar, Bundesgerichtsgesetz, 2ème éd. 2011, n° 9 ad art. 121 LTF ).</w:t>
      </w:r>
    </w:p>
    <w:p>
      <w:r>
        <w:rPr>
          <w:b/>
        </w:rPr>
        <w:t>E. 4</w:t>
      </w:r>
    </w:p>
    <w:p>
      <w:r>
        <w:t>La demande de révision doit par conséquent être déclarée irrecevable sans autre mesure d'instruction ( art. 127 LTF ), aux frais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