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1F_33/2016 vom 14. Oktober 2016</w:t>
      </w:r>
    </w:p>
    <w:p>
      <w:r>
        <w:t>Bundesgericht, 2016-10-14, DE</w:t>
      </w:r>
    </w:p>
    <w:p>
      <w:r>
        <w:rPr>
          <w:b/>
        </w:rPr>
        <w:t xml:space="preserve">Quelle: </w:t>
      </w:r>
      <w:r>
        <w:t>https://mcp.opencaselaw.ch/entscheid/bger_1F_33_2016</w:t>
      </w:r>
    </w:p>
    <w:p>
      <w:r>
        <w:t>FR: TF 1F_33/2016 du 14 octobre 2016</w:t>
      </w:r>
    </w:p>
    <w:p>
      <w:r>
        <w:t>IT: TF 1F_33/2016 del 14 ottobre 2016</w:t>
      </w:r>
    </w:p>
    <w:p>
      <w:pPr>
        <w:pStyle w:val="Heading2"/>
      </w:pPr>
      <w:r>
        <w:t>Erwägungen</w:t>
      </w:r>
    </w:p>
    <w:p>
      <w:r>
        <w:rPr>
          <w:b/>
        </w:rPr>
        <w:t>E. 1</w:t>
      </w:r>
    </w:p>
    <w:p>
      <w:r>
        <w:t>Rekurs, Einsprache, Klage oder Beschwerde stehen gegen bundesgerichtliche Urteile nicht zur Verfügung. Zulässig ist einzig ein Revisionsgesuch, weshalb die Eingabe des Gesuchstellers als solches entgegenzunehmen ist. Zuständig für dessen Behandlung ist diejenige Abteilung, die schon den Sachentscheid fällte. Eine Rekurskommission, die der Gesuchsteller anruft, gibt es nicht, und das Bundesverwaltungsgericht, auf das er sich ebenfalls bezieht, hat mit dieser Angelegenheit nichts zu tun.</w:t>
      </w:r>
    </w:p>
    <w:p>
      <w:r>
        <w:t>Der Gesuchsteller versteht seine Eingabe offenbar teilweise auch als Strafanzeige (Revisionsgesuch S. 11 7. Absatz, S. 13 letzter Absatz, S. 20 3. Absatz, etc.), wobei allerdings nicht klar wird, wem genau er konkret welches strafbare Verhalten vorwirft. Das braucht indessen nicht weiter abgeklärt zu werden, da das Bundesgericht für die Behandlung von Strafanzeigen nicht zuständig ist. Dem Gesuchsteller steht es allerdings frei, Straftaten bei einer Strafverfolgungsbehörde schriftlich oder mündlich anzuzeigen ( Art. 301 Abs. 1 StPO ).</w:t>
      </w:r>
    </w:p>
    <w:p>
      <w:r>
        <w:rPr>
          <w:b/>
        </w:rPr>
        <w:t>E. 2</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u.a. auch verlangt werden, wenn das Bundesgericht einzelne Anträge unbeurteilt liess ( Art. 121 lit. c BGG ) oder in den Akten liegende erhebliche Tatsachen aus Versehen nicht berücksichtigte ( Art. 121 lit. d BGG ).</w:t>
      </w:r>
    </w:p>
    <w:p>
      <w:r>
        <w:t>Der Beschwerdeführer kritisiert das Urteil zwar heftig, vorab in rechtlicher Hinsicht. Revisionsgründe im Sinn von Art. 121 und Art. 123 BGG macht er indessen keine geltend.</w:t>
      </w:r>
    </w:p>
    <w:p>
      <w:r>
        <w:rPr>
          <w:b/>
        </w:rPr>
        <w:t>E. 3</w:t>
      </w:r>
    </w:p>
    <w:p>
      <w:r>
        <w:t>Auf das Revisionsgesuch ist nicht einzutreten. Der Gesuchsteller wird zudem darauf hingewiesen, dass weitere Eingaben in dieser Sache, die keine Revisionsgründe enthalten, unbeantwortet abgelegt würden. Bei diesem Ausgang des Verfahrens wird der Gesuchsteller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