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32/2013 vom 1. November 2013</w:t>
      </w:r>
    </w:p>
    <w:p>
      <w:r>
        <w:t>Bundesgericht, 2013-11-01, FR</w:t>
      </w:r>
    </w:p>
    <w:p>
      <w:r>
        <w:rPr>
          <w:b/>
        </w:rPr>
        <w:t xml:space="preserve">Quelle: </w:t>
      </w:r>
      <w:r>
        <w:t>https://mcp.opencaselaw.ch/entscheid/bger_1F_32_2013</w:t>
      </w:r>
    </w:p>
    <w:p>
      <w:r>
        <w:t>FR: TF 1F 32/2013 du 1 novembre 2013</w:t>
      </w:r>
    </w:p>
    <w:p>
      <w:r>
        <w:t>IT: TF 1F 32/2013 del 1 novembre 2013</w:t>
      </w:r>
    </w:p>
    <w:p>
      <w:pPr>
        <w:pStyle w:val="Heading2"/>
      </w:pPr>
      <w:r>
        <w:t>Regeste</w:t>
      </w:r>
    </w:p>
    <w:p>
      <w:r>
        <w:t>Demande de révision de l'arrêt du Tribunal fédéral 1B_526/2012 du 24 juin 2013 | Procédure pénale</w:t>
      </w:r>
    </w:p>
    <w:p>
      <w:pPr>
        <w:pStyle w:val="Heading2"/>
      </w:pPr>
      <w:r>
        <w:t>Erwägungen</w:t>
      </w:r>
    </w:p>
    <w:p>
      <w:r>
        <w:rPr>
          <w:b/>
        </w:rPr>
        <w:t>E. 1</w:t>
      </w:r>
    </w:p>
    <w:p>
      <w:r>
        <w:t>Selon l' art. 123 al. 1 LTF , la révision d'un arrêt du Tribunal fédéral peut être demandée lorsqu'une procédure pénale établit que l'arrêt a été influencé au préjudice du requérant par un crime ou un délit, même si aucune condamnation n'est intervenue. Les requérants ne se prévalent pas de cette disposition, mais de l' art. 123 al. 2 let. b LTF , qui autorise également la révision dans les affaires pénales, si les conditions fixées notamment à l' art. 410 al. 1 let. a et b CPP sont remplies. Selon cette dernière disposition, la révision peut être demandée contre un jugement ou une décision entrée en force s'il existe des faits ou des moyens de preuve inconnus de l'autorité inférieure et qui sont de nature à modifier l'acquittement, respectivement la condamnation de la personne acquittée (let. a), ou si la décision est en contradiction flagrante avec une décision pénale rendue postérieurement sur les mêmes faits (let. b). Cette dernière hypothèse n'entre pas en considération, aucune décision pénale n'étant intervenue dans l'intervalle.</w:t>
      </w:r>
    </w:p>
    <w:p>
      <w:r>
        <w:rPr>
          <w:b/>
        </w:rPr>
        <w:t>E. 1.1</w:t>
      </w:r>
    </w:p>
    <w:p>
      <w:r>
        <w:t>Selon la jurisprudence, le motif spécial de révision institué à l' art. 123 al. 2 let. b LTF doit être interprété restrictivement. En effet, l'invocation devant le Tribunal fédéral de faits nouveaux ou de preuves nouvelles se trouverait en contradiction, notamment, avec le pouvoir d'examen restreint en ce qui concerne les faits ( art. 105 LTF ), ainsi que par l'interdiction générale des nouveaux faits ou moyens de preuve ( art. 99 al. 1 LTF ). Une demande de révision n'est ainsi possible que lorsque le Tribunal fédéral a réformé l'arrêt précédent, en modifiant l'état de fait sur la base de l' art. 105 al. 2 LTF . Dans les autres cas, la demande de révision doit être adressée aux autorités cantonales ( ATF 134 IV 49 consid. 1). Cette jurisprudence, rendue sous l'empire de l'ancien art. 123 LTF (qui faisait référence à l' art. 229 PPF ), doit être maintenue au regard du nouveau droit, le législateur n'ayant fait que remplacer la référence à la PPF par celle correspondante du CPP (FF 2006 1320).</w:t>
      </w:r>
    </w:p>
    <w:p>
      <w:r>
        <w:rPr>
          <w:b/>
        </w:rPr>
        <w:t>E. 1.2</w:t>
      </w:r>
    </w:p>
    <w:p>
      <w:r>
        <w:t>La pièce sur laquelle entendent se fonder les requérantes est une copie d'un courrier électronique entre la secrétaire de l'ARC et un collaborateur du Tribunal de district de Neuchâtel. Selon les requérantes, cela démontrerait, d'une part, l'existence d'une violation du secret de fonction et, d'autre part, des liens étroits entre ces deux personnes. La pièce en question avait été produite lors de la procédure précédente devant le Tribunal fédéral, le 21 décembre 2012, alors que le délai de recours était échu depuis longtemps. Elle a été déclarée irrecevable en raison de son caractère tardif et de sa nouveauté, conformément à l' art. 99 al. 1 LTF . Dans la mesure où le Tribunal fédéral a rejeté le recours - laissant douteuse la question de la qualité pour recourir -, l'on ne se trouve pas dans le cas visé à l' art. 123 al. 2 let. b LTF . Par ailleurs, le motif allégué ayant été découvert avant le prononcé de l'arrêt, les requérantes ne pouvaient agir que par la voie de la révision cantonale; la révision de l'arrêt du Tribunal fédéral est en effet exclue, en vertu de l' art. 125 LTF .</w:t>
      </w:r>
    </w:p>
    <w:p>
      <w:r>
        <w:rPr>
          <w:b/>
        </w:rPr>
        <w:t>E. 2</w:t>
      </w:r>
    </w:p>
    <w:p>
      <w:r>
        <w:t>Sur le vu de ce qui précède, la demande de révision doit être rejetée, dans la mesure où elle est recevable. Quand bien même la demande apparaissait d'emblée dénuée de chances de succès, il peut être statué sans frais pour tenir compte des difficultés financières dont les requérantes avaient fait état dans la précédente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