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2/2014 vom 3. Juli 2014</w:t>
      </w:r>
    </w:p>
    <w:p>
      <w:r>
        <w:t>Bundesgericht, 2014-07-03, FR</w:t>
      </w:r>
    </w:p>
    <w:p>
      <w:r>
        <w:rPr>
          <w:b/>
        </w:rPr>
        <w:t xml:space="preserve">Quelle: </w:t>
      </w:r>
      <w:r>
        <w:t>https://mcp.opencaselaw.ch/entscheid/bger_1F_2_2014</w:t>
      </w:r>
    </w:p>
    <w:p>
      <w:r>
        <w:t>FR: TF 1F 2/2014 du 3 juillet 2014</w:t>
      </w:r>
    </w:p>
    <w:p>
      <w:r>
        <w:t>IT: TF 1F 2/2014 del 3 luglio 2014</w:t>
      </w:r>
    </w:p>
    <w:p>
      <w:pPr>
        <w:pStyle w:val="Heading2"/>
      </w:pPr>
      <w:r>
        <w:t>Regeste</w:t>
      </w:r>
    </w:p>
    <w:p>
      <w:r>
        <w:t>Demande de révision de l'arrêt 1C_461/2013 &amp; 1C_462/2013 du Tribunal fédéral du 14 novembre 2013 | Procédure administrative</w:t>
      </w:r>
    </w:p>
    <w:p>
      <w:pPr>
        <w:pStyle w:val="Heading2"/>
      </w:pPr>
      <w:r>
        <w:t>Erwägungen</w:t>
      </w:r>
    </w:p>
    <w:p>
      <w:r>
        <w:rPr>
          <w:b/>
        </w:rPr>
        <w:t>E. 1</w:t>
      </w:r>
    </w:p>
    <w:p>
      <w:r>
        <w:t>Selon l' art. 121 let . d LTF, la révision d'un arrêt du Tribunal fédéral peut être demandée si, par inadvertance, le tribunal n'a pas pris en considération des faits pertinents qui ressortent du dossier. La demande doit être formée dans les trente jours suivant la notification de l'arrêt. Ce délai est en l'occurrence respecté. La demande de révision n'est toutefois recevable que dans la mesure où le fait invoqué par le requérant est susceptible d'aboutir à une décision différente sur le fond (cf. consid. 1.1 infra). Or, le requérant reprend, à l'appui de sa demande, l'intégralité des griefs soumis au Tribunal fédéral, y compris des arguments (de forme et de fond) relatifs à la possibilité pour le Conseil d'Etat de rendre une décision de constatation. Ces griefs ont été clairement écartés par le Tribunal fédéral, pour des motifs sans rapport avec l'inexactitude dont se prévaut le requérant. Dans cette mesure, la demande de révision apparaît irrecevable.</w:t>
      </w:r>
    </w:p>
    <w:p>
      <w:r>
        <w:rPr>
          <w:b/>
        </w:rPr>
        <w:t>E. 1.1</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par ailleurs être invoqué que si les faits qui n'ont pas été pris en considération sont "importants": il doit s'agir de faits pertinents, susceptibles d'entraîner une décision différente de celle qui a été prise et plus favorable au requérant (arrêt 5F_19/2013 du 22 novembre 2013 consid. 2.1; ATF 122 II 17 consid. 3 p. 18).</w:t>
      </w:r>
    </w:p>
    <w:p>
      <w:r>
        <w:rPr>
          <w:b/>
        </w:rPr>
        <w:t>E. 1.2</w:t>
      </w:r>
    </w:p>
    <w:p>
      <w:r>
        <w:t>L'arrêt contesté retient (consid. 4.4 et 5.2) que le représentant de l'ACG est maire d'une commune française. Cela est effectivement inexact, puisque le maire en question siège en réalité comme président de la communauté des communes du Genevois, membre pour la région frontalière française nommé par le Conseil d'Etat selon l' art. 9 al. 1 let . e LTPG. Le grief d'inégalité de traitement soulevé en rapport avec ce représentant a été traité par la cour cantonale et écarté, au motif qu'il n'existait pas de risque de conflit d'intérêts avec le chef d'un exécutif étranger. Dans son recours au Tribunal fédéral, le recourant ne remettait pas en cause cette appréciation; son argumentation portait sur l'inégalité de traitement avec le représentant de l'ACG, association ne regroupant que des communes sises sur territoire genevois.</w:t>
      </w:r>
    </w:p>
    <w:p>
      <w:r>
        <w:rPr>
          <w:b/>
        </w:rPr>
        <w:t>E. 1.3</w:t>
      </w:r>
    </w:p>
    <w:p>
      <w:r>
        <w:t>Si l'arrêt du Tribunal fédéral contient donc sur ce point une inadvertance manifeste, celle-ci est toutefois sans influence sur le sort de la cause.</w:t>
      </w:r>
    </w:p>
    <w:p>
      <w:r>
        <w:rPr>
          <w:b/>
        </w:rPr>
        <w:t>E. 1.3.1</w:t>
      </w:r>
    </w:p>
    <w:p>
      <w:r>
        <w:t>Selon la jurisprudence, une décision ou un arrêté viole le principe de l'égalité de traitement consacré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L'inégalité de traitement apparaît ainsi comme une forme particulière d'arbitraire, consistant à traiter de manière inégale ce qui devrait l'être de manière semblable ou inversement ( ATF 129 I 346 consid. 6 p. 357; arrêt 2C_200/2011 du 14 novembre 2011 consid. 5.1).</w:t>
      </w:r>
    </w:p>
    <w:p>
      <w:r>
        <w:rPr>
          <w:b/>
        </w:rPr>
        <w:t>E. 1.3.2</w:t>
      </w:r>
    </w:p>
    <w:p>
      <w:r>
        <w:t>En l'occurrence, l'arrêt de la Chambre administrative expliquait clairement que le but de la modification législative était de mettre le droit cantonal en conformité avec l' art. 29 al. 1 LTV , disposition exigeant notamment que le conseil d'administration de l'entreprise de transport ne "comprenne aucune personne qui participe directement au processus de commande ou est employée dans une unité administrative participant à ce processus". En premier lieu était visé le membre du Conseil d'Etat chargé de la mobilité et des transports, mais un amendement a été proposé afin d'exclure également l'ensemble des membres des exécutifs cantonal et communaux. Le but en était d'éviter les conflits d'intérêts. Comme le relève déjà l'arrêt du 14 novembre 2013 (consid. 5.2), le risque de tels conflits n'est pas le même entre la Ville de Genève (qui, pour les cinq dernières années, a versé 60 millions de francs aux TPG) et une association de communes qui, en tant que telle, ne défend pas les intérêts individuels de ses membres et n'est pas appelée à participer au processus de commande au sens de l' art. 29 LTV . L'arrêt du Tribunal fédéral relève ainsi que les possibilités de conflits d'intérêts apparaissent nettement moindre dans le second cas, ce qui peut justifier une différence de traitement dans la loi. Il s'agit là d'une appréciation juridique que le requérant ne saurait remettre en cause par le biais de sa demande de révision (cf. consid. 1.1). La confusion opérée entre le représentant de l'ACG et celui de la région frontalière française ne change rien à cette appréciation, qui conduisait au rejet du grief formel (violation de l'obligation de motiver) et matériel (égalité de traitement). Le Tribunal fédéral s'est aussi prononcé sur les allégations du recourant selon lesquelles la révision législative avait pour but de l'exclure personnellement, considérant qu'aucun indice concret ne venait étayer cette thèse. La rectification de l'état de fait est sans incidence sur ce point également. En définitive, l'inadvertance manifeste invoquée par le requérant apparaît sans conséquences sur l'issue de la cause.</w:t>
      </w:r>
    </w:p>
    <w:p>
      <w:r>
        <w:rPr>
          <w:b/>
        </w:rPr>
        <w:t>E. 2</w:t>
      </w:r>
    </w:p>
    <w:p>
      <w:r>
        <w:t>Sur le vu de ce qui précède, la demande de révision doit être rejetée, dans la mesure où elle est recevable. Conformément à l' art. 66 al. 1 LTF , les frais judiciaires sont mis à la charge du requérant,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