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 27/2014 vom 25. September 2014</w:t>
      </w:r>
    </w:p>
    <w:p>
      <w:r>
        <w:t>Bundesgericht, 2014-09-25, FR</w:t>
      </w:r>
    </w:p>
    <w:p>
      <w:r>
        <w:rPr>
          <w:b/>
        </w:rPr>
        <w:t xml:space="preserve">Quelle: </w:t>
      </w:r>
      <w:r>
        <w:t>https://mcp.opencaselaw.ch/entscheid/bger_1F_27_2014</w:t>
      </w:r>
    </w:p>
    <w:p>
      <w:r>
        <w:t>FR: TF 1F 27/2014 du 25 septembre 2014</w:t>
      </w:r>
    </w:p>
    <w:p>
      <w:r>
        <w:t>IT: TF 1F 27/2014 del 25 settembre 2014</w:t>
      </w:r>
    </w:p>
    <w:p>
      <w:pPr>
        <w:pStyle w:val="Heading2"/>
      </w:pPr>
      <w:r>
        <w:t>Regeste</w:t>
      </w:r>
    </w:p>
    <w:p>
      <w:r>
        <w:t>Demande de révision de l'arrêt 1F_12/2014 et 1F_13/2014 du Tribunal fédéral du 22 mai 2014 | Procédure pénale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Tribunal fédéral examine d'office sa compétence ( art. 29 al. 1 LTF ) et contrôle librement les conditions de recevabilité des recours qui lui sont soumis ( ATF 139 III 133 consid. 1 p. 133). Au vu de l'issue du litige, la question de la recevabilité de la requête de révision - en particulier par rapport aux exigences de motivation au sens de l' art. 42 al. 2 LTF - peut rester indécise.</w:t>
      </w:r>
    </w:p>
    <w:p>
      <w:r>
        <w:rPr>
          <w:b/>
        </w:rPr>
        <w:t>E. 2</w:t>
      </w:r>
    </w:p>
    <w:p>
      <w:r>
        <w:t>Selon l' art. 121 let. a LTF , la révision d'un arrêt du Tribunal fédéral peut être demandée si les dispositions concernant la composition du tribunal ou la récusation n'ont pas été observées. Se référant à cette disposition, le requérant soutient en substance que la Ire Cour de droit public aurait violé les dispositions sur la récusation en statuant dans la cause 1F_12/2014 et 1F_13/2014. Il se réfère à cet égard à la requête déposée le 10 juin 2014, demandant notamment la récusation des membres de la Ire Cour de droit public intervenus dans les procédures susmentionnées. Cette demande de récusation a été déclarée irrecevable par arrêts du Tribunal fédéral du 23 juillet 2014 (causes 1F_20/2014 et 1F_21/2014 consid. 3, ainsi que 1B_202/2014 consid. 1). Il en résulte que le motif de révision reposant sur l' art. 121 let. a LTF n'est pas réalisé. Le requérant semble ensuite se réserver le droit de produire des déterminations complémentaires lorsque sa requête de récusation aura été examinée (cf. ad 7 de sa motivation et le ch. 2 de ses conclusions); ce faisant, il laisse sous-entendre qu'il aurait connaissance d'autres motifs de révision de l'arrêt du 15 mai 2014. Si cette manière de procéder paraît pour le moins douteuse - que ce soit au regard des délais prévus à l' art. 124 LTF ou du principe de la bonne foi ( art. 5 Cst. ) -, il y a lieu cependant de relever que les deux arrêts statuant sur sa demande de récusation ont été notifiés au requérant le 11 août 2014, sans que celui-ci n'ait déposé à ce jour de nouvelles écritures.</w:t>
      </w:r>
    </w:p>
    <w:p>
      <w:r>
        <w:rPr>
          <w:b/>
        </w:rPr>
        <w:t>E. 3</w:t>
      </w:r>
    </w:p>
    <w:p>
      <w:r>
        <w:t>Il s'ensuit que la requête de révision de l'arrêt 1F_12/2014 et 1F_13/2014 du 22 mai 2014 doit être rejetée dans la mesure de sa recevabilité. Le requérant, qui succombe, ne peut prétendre à des dépens ( art. 68 al. 1 LTF ). Vu les circonstances, il se justifie exceptionnellement de statuer sans frais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