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 25/2013 vom 14. August 2013</w:t>
      </w:r>
    </w:p>
    <w:p>
      <w:r>
        <w:t>Bundesgericht, 2013-08-14, FR</w:t>
      </w:r>
    </w:p>
    <w:p>
      <w:r>
        <w:rPr>
          <w:b/>
        </w:rPr>
        <w:t xml:space="preserve">Quelle: </w:t>
      </w:r>
      <w:r>
        <w:t>https://mcp.opencaselaw.ch/entscheid/bger_1F_25_2013</w:t>
      </w:r>
    </w:p>
    <w:p>
      <w:r>
        <w:t>FR: TF 1F 25/2013 du 14 août 2013</w:t>
      </w:r>
    </w:p>
    <w:p>
      <w:r>
        <w:t>IT: TF 1F 25/2013 del 14 agosto 2013</w:t>
      </w:r>
    </w:p>
    <w:p>
      <w:pPr>
        <w:pStyle w:val="Heading2"/>
      </w:pPr>
      <w:r>
        <w:t>Regeste</w:t>
      </w:r>
    </w:p>
    <w:p>
      <w:r>
        <w:t>Demande de révision de l'arrêt du Tribunal fédéral 1C_552/2013 du 13 juin 2013 | Construction des routes et circulation routière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 art. 61 LTF , les arrêts du Tribunal fédéral entrent en force dès leur prononcé. Cela signifie qu'il n'existe pas de voie de recours ou d'opposition à leur encontre. Seule est envisageable une demande de révision, aux conditions des art. 121 et 123 LTF . En l'occurrence, le requérant ne fait valoir aucune irrégularité au sens de l' art. 121 LTF , et ne prétend pas avoir découvert de nouveaux moyens de preuve ( art. 123 al. 2 let. a LTF ). Il se contente de rappeler qu'il conteste les faits qui lui sont reprochés.</w:t>
      </w:r>
    </w:p>
    <w:p>
      <w:r>
        <w:rPr>
          <w:b/>
        </w:rPr>
        <w:t>E. 2</w:t>
      </w:r>
    </w:p>
    <w:p>
      <w:r>
        <w:t>Ainsi, la lettre du 20 juillet 2013, traitée comme demande de révision, doit être déclarée irrecevable. Vu les circonstances, il sera statué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