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1F_24/2012 vom 20. Dezember 2012</w:t>
      </w:r>
    </w:p>
    <w:p>
      <w:r>
        <w:t>Bundesgericht, 2012-12-20, FR</w:t>
      </w:r>
    </w:p>
    <w:p>
      <w:r>
        <w:rPr>
          <w:b/>
        </w:rPr>
        <w:t xml:space="preserve">Quelle: </w:t>
      </w:r>
      <w:r>
        <w:t>https://mcp.opencaselaw.ch/entscheid/bger_1F_24_2012</w:t>
      </w:r>
    </w:p>
    <w:p>
      <w:r>
        <w:t>FR: TF 1F_24/2012 du 20 décembre 2012</w:t>
      </w:r>
    </w:p>
    <w:p>
      <w:r>
        <w:t>IT: TF 1F_24/2012 del 20 dicembre 2012</w:t>
      </w:r>
    </w:p>
    <w:p>
      <w:pPr>
        <w:pStyle w:val="Heading2"/>
      </w:pPr>
      <w:r>
        <w:t>Erwägungen</w:t>
      </w:r>
    </w:p>
    <w:p>
      <w:r>
        <w:rPr>
          <w:b/>
        </w:rPr>
        <w:t>E. 1</w:t>
      </w:r>
    </w:p>
    <w:p>
      <w:r>
        <w:t>La révision d'un arrêt du Tribunal fédéral peut être demandée pour les motifs mentionnés aux art. 121 à 123 LTF. Le délai de 30 jours pour invoquer de tels motifs a été respecté ( art. 124 al. 1 let. b LTF ).</w:t>
      </w:r>
    </w:p>
    <w:p>
      <w:r>
        <w:rPr>
          <w:b/>
        </w:rPr>
        <w:t>E. 2.1</w:t>
      </w:r>
    </w:p>
    <w:p>
      <w:r>
        <w:t>En vertu de l' art. 121 LTF , la révision d'un arrêt du Tribunal fédéral peut être demandée si, par inadvertance, le tribunal n'a pas pris en considération des faits pertinents qui ressortent du dossier (let. d). Le motif de révision prévu par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5F_3/2009 du 21 octobre 2009 consid. 3.1; 1F_10/2007 du 2 octobre 2007 consid. 4.1 et les références citées). L'inadvertance doit en outre porter sur un fait susceptible d'entraîner une décision différente, plus favorable à la partie requérante (arrêts 1F_12/2009 du 23 août 2010 consid. 2; 4F_8/2007 du 26 février 2008 consid. 2.3.1; cf. ATF 122 II 17 consid. 3 p. 19; 115 II 399 consid. 2a p. 400). La révision n'entre pas en considération lorsque le juge a sciemment refusé de tenir compte d'un certain fait, parce qu'il le tenait pour non décisif; dans ce cas, le refus relève en effet du droit (arrêt 1F_16/2008 du 11 août 2008 consid. 3, in SJ 2008 I p. 465).</w:t>
      </w:r>
    </w:p>
    <w:p>
      <w:r>
        <w:rPr>
          <w:b/>
        </w:rPr>
        <w:t>E. 2.2</w:t>
      </w:r>
    </w:p>
    <w:p>
      <w:r>
        <w:t>En l'espèce, la requérante reproche au Tribunal fédéral d'avoir omis d'intégrer à son raisonnement le contenu des diverses expertises versées au dossier, à savoir celles réalisées par François Hiltbrand, la société Engel &amp; Völkers et Pierre-Alain Rieben. Les juges fédéraux auraient également omis de tenir compte des aveux du Conseil d'Etat relatifs à certaines de ces pièces, aveux confirmés implicitement par l'absence de duplique au cours de la procédure devant le Tribunal fédéral. Elle fait valoir que ces expertises et aveux fournissaient des données précises sur les contraintes architecturales et techniques engendrées par la procédure de classement ainsi que sur les conséquences quant au rendement des immeubles visés.</w:t>
      </w:r>
    </w:p>
    <w:p>
      <w:r>
        <w:t>Comme le souligne elle-même la requérante, le Tribunal fédéral a eu connaissance des expertises précitées, puisqu'il les cite à plusieurs reprises dans l'arrêt attaqué (cf. consid. 2.2 et 7.2). Il ne s'agit dès lors pas de faits qui auraient été omis par inadvertance. La requérante critique en réalité la pondération des intérêts effectuée par le Tribunal fédéral et tente à nouveau de démontrer que la mesure de classement litigieuse violerait le principe de la proportionnalité. La voie de la révision prévue par l' art. 121 let . d LTF ne permet toutefois pas de remettre en question l'appréciation juridique des faits telle qu'elle ressort de l'arrêt du 7 septembre 2012.</w:t>
      </w:r>
    </w:p>
    <w:p>
      <w:r>
        <w:rPr>
          <w:b/>
        </w:rPr>
        <w:t>E. 3</w:t>
      </w:r>
    </w:p>
    <w:p>
      <w:r>
        <w:t>Il s'ensuit que la demande de révision doit être rejetée dans la mesure où elle est recevable, aux frais de la requérante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