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1F_23/2013 vom 22. Juli 2013</w:t>
      </w:r>
    </w:p>
    <w:p>
      <w:r>
        <w:t>Bundesgericht, 2013-07-22, DE</w:t>
      </w:r>
    </w:p>
    <w:p>
      <w:r>
        <w:rPr>
          <w:b/>
        </w:rPr>
        <w:t xml:space="preserve">Quelle: </w:t>
      </w:r>
      <w:r>
        <w:t>https://mcp.opencaselaw.ch/entscheid/bger_1F_23_2013</w:t>
      </w:r>
    </w:p>
    <w:p>
      <w:r>
        <w:t>FR: TF 1F_23/2013 du 22 juillet 2013</w:t>
      </w:r>
    </w:p>
    <w:p>
      <w:r>
        <w:t>IT: TF 1F_23/2013 del 22 luglio 2013</w:t>
      </w:r>
    </w:p>
    <w:p>
      <w:pPr>
        <w:pStyle w:val="Heading2"/>
      </w:pPr>
      <w:r>
        <w:t>Erwägungen</w:t>
      </w:r>
    </w:p>
    <w:p>
      <w:r>
        <w:rPr>
          <w:b/>
        </w:rPr>
        <w:t>E. 1</w:t>
      </w:r>
    </w:p>
    <w:p>
      <w:r>
        <w:t>Das Ausstandsbegehren richtet sich sinngemäss gegen sämtliche Bundesrichter. Der Gesuchsteller begründet in keiner Weise, mit welchen Personen eine besondere Freundschaft im Sinne von Art. 34 Abs. 1 lit. e BGG bestehen soll. Der Umstand, dass einzelne Bundesrichter in früheren Verfahren zu Ungunsten des Gesuchstellers und nach dessen Auffassung fehlerhaft entschieden haben, stellt von vornherein keinen Ausstandsgrund dar. Aus diesen Gründen ist das vorliegende Ausstandsbegehren untauglich und unzulässig, weshalb von der Durchführung des Verfahrens nach Art. 37 BGG Abstand genommen und unter Mitwirkung der Abgelehnten entschieden werden kann (vgl. BGE 105 Ib 301 E. 1c, 114 Ia 278 E. 1). Auf das Ersuchen ist nicht einzutreten.</w:t>
      </w:r>
    </w:p>
    <w:p>
      <w:r>
        <w:rPr>
          <w:b/>
        </w:rPr>
        <w:t>E. 2</w:t>
      </w:r>
    </w:p>
    <w:p>
      <w:r>
        <w:t>Das Bundesgericht hat in seinem Urteil betreffend Stimmrechtsrekurs (1C_634/2012) ausgeführt, dass eine allfällige irreführende Information von Seiten der Gemeindebehörden im Vorfeld der Gemeindeversammlung keinen unmittelbaren verfahrensmässigen Zusammenhang mit der korrekten Protokollierung der Gemeindeversammlung aufweise und dass auch die Frage eines allfälligen Widerspruchs mit höherrangigem Recht nicht von der Protokollierung abhänge (E. 2). Hinsichtlich des Protokolls (1C_28/2013) hat das Bundesgericht festgehalten, dass dieses den Anforderungen nicht genüge und demnach die erforderlichen Beweise für eine Berichtigung vorzunehmen seien (E. 2.4 und 3.2); es hat ausdrücklich darauf hingewiesen, dass ein neues Protokoll weder für den Stimmrechtsrekurs noch für eine Gemeindebeschwerde eine neue Frist auslöse (E. 3.2). Im Urteil betreffend Gemeindebeschwerde (1C_194/2013), um dessen Revision ersucht wird, ist angefügt worden, dass die korrekte Protokollierung keinen prozessualen Zusammenhang mit der Frage des Verstosses gegen übergeordnetes Recht aufweise (E. 1.2). Daraus ist geschlossen worden, dass das Verwaltungsgericht die einzelnen Verfahren nicht vereinigen musste und dass auch die Verfahren vor Bundesgericht getrennt zu behandeln waren.</w:t>
      </w:r>
    </w:p>
    <w:p>
      <w:r>
        <w:t>Der Gesuchsteller bringt vor, das Bundesgericht habe ein Aktenstück aus dem Verfahren betreffend die Protokollberichtigung (1C_28/2013) im hier umstrittenen Verfahren betreffend Gemeindebeschwerde (1C_194/2013) nicht berücksichtigt und der Vernehmlassung nicht unterstellt. Aus obiger Erwägung ergibt sich, dass die beiden Verfahren unabhängig voneinander zu behandeln waren. Demnach ist die Rüge, im Sinne von Art. 121 Abs. 1 lit. d BGG in den Akten liegende Tatsachen aus Versehen nicht berücksichtigt zu haben, offensichtlich unbegründet.</w:t>
      </w:r>
    </w:p>
    <w:p>
      <w:r>
        <w:t>Weiter bemängelt der Gesuchsteller, das Bundesgericht sei auf seine Rüge nicht eingegangen, der zugrunde liegende Beschluss der Gemeindeversammlung sei mit der Gemeindeordnung nicht vereinbar. Darin liegt von vornherein kein Revisionsgrund im Sinne von Art. 121 Abs. 1 lit. c und d BGG . Im Übrigen ist auf die Rüge Bezug genommen worden; aus formellen Gründen unterblieb eine materielle Prüfung (E. 3).</w:t>
      </w:r>
    </w:p>
    <w:p>
      <w:r>
        <w:t>Aus formellen Gründen unterblieb auch eine Prüfung des Eventualantrags, den angefochtenen Verwaltungsgerichtsentscheid aus formalen Gründen aufzuheben (E. 2). Dass die Protokollierung der Gemeindeversammlung keinen Zusammenhang mit der Gemeindebeschwerde aufweist, ist bereits oben ausgeführt worden. Auch hinsichtlich des Eventualantrags oder der Eventualanträge ist kein Revisionsgrund ersichtlich.</w:t>
      </w:r>
    </w:p>
    <w:p>
      <w:r>
        <w:t>Im Übrigen kritisiert der Gesuchsteller die bundesgerichtlichen Begründungen. Damit kann kein Revisionsgrund gemäss Art. 121 Abs. 1 lit. c und d BGG belegt werden. Nach Art. 123 Abs. 2 lit. a BGG ebenso wenig in der angeblich neuen Tatsache der Inkraftsetzung der Revision des Energiegesetzes, die im früheren Verfahren hätte beigebracht werden können.</w:t>
      </w:r>
    </w:p>
    <w:p>
      <w:r>
        <w:t>Das Revisionsgesuch ist abzuweisen, soweit darauf eingetreten werden kann. Bei diesem Ausgang des Verfahrens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