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1F_21/2021 vom 13. Juli 2021</w:t>
      </w:r>
    </w:p>
    <w:p>
      <w:r>
        <w:t>Bundesgericht, 2021-07-13, DE</w:t>
      </w:r>
    </w:p>
    <w:p>
      <w:r>
        <w:rPr>
          <w:b/>
        </w:rPr>
        <w:t xml:space="preserve">Quelle: </w:t>
      </w:r>
      <w:r>
        <w:t>https://mcp.opencaselaw.ch/entscheid/bger_1F_21_2021</w:t>
      </w:r>
    </w:p>
    <w:p>
      <w:r>
        <w:t>FR: TF 1F_21/2021 du 13 juillet 2021</w:t>
      </w:r>
    </w:p>
    <w:p>
      <w:r>
        <w:t>IT: TF 1F_21/2021 del 13 luglio 2021</w:t>
      </w:r>
    </w:p>
    <w:p>
      <w:pPr>
        <w:pStyle w:val="Heading2"/>
      </w:pPr>
      <w:r>
        <w:t>Erwägungen</w:t>
      </w:r>
    </w:p>
    <w:p>
      <w:r>
        <w:rPr>
          <w:b/>
        </w:rPr>
        <w:t>E. 1</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Revisionsgesuche haben den Begründungsanforderungen von Art. 42 Abs. 2 BGG zu genügen, weshalb die gesuchstellende Person in gedrängter Form darzulegen hat, inwiefern der von ihr behauptete Revisionsgrund vorliegen soll. Fehlt es an einer rechtsgenüglichen Begründung, tritt das Bundesgericht auf das Revisionsgesuch nicht ein (vgl. Urteil 1F_7/2020 vom 4. Mai 2020 E. 3.1 mit Hinweisen).</w:t>
      </w:r>
    </w:p>
    <w:p>
      <w:r>
        <w:rPr>
          <w:b/>
        </w:rPr>
        <w:t>E. 2.1</w:t>
      </w:r>
    </w:p>
    <w:p>
      <w:r>
        <w:t>Die Revision eines Bundesgerichtsurteils kann verlangt werden, wenn das Bundesgericht einzelne Anträge unbeurteilt liess ( Art. 121 lit. c BGG ) oder in den Akten liegende erhebliche Tatsachen aus Versehen nicht berücksichtigte ( Art. 121 lit. d BGG ). Weiter kann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w:t>
      </w:r>
    </w:p>
    <w:p>
      <w:r>
        <w:rPr>
          <w:b/>
        </w:rPr>
        <w:t>E. 2.2</w:t>
      </w:r>
    </w:p>
    <w:p>
      <w:r>
        <w:t>Der Eingabe der Gesuchstellerin lässt sich der Vorwurf entnehmen, das Bundesgericht habe Beweismittel bzw. -anträge und tatsächliche Ausführungen von ihr in den Urteilen vom 23. März 2018 und 12. November 2019 nicht berücksichtigt. Ausserdem legt sie ein Betriebsdatenblatt ihres Bruders über das Jahr 2007 als Beleg für die Fortführung des landwirtschaftlichen Betriebs auf dem betroffenen Hof vor. Sie behauptet, dieses Dokument stehe im Gegensatz zur Feststellung im Urteil 1C_347/2017 vom 23. März 2018, wonach der landwirtschaftliche Betrieb im Jahr 1998 aufgegeben worden sei. Diese Vorbringen der Gesuchstellerin beziehen sich sinngemäss auf die Revisionsgründe von Art. 121 lit. c und d sowie Art. 123 Abs. 2 lit. a BGG . Dabei setzt sich die Gesuchstellerin aber nicht mit den Bestimmungen von Art. 124 BGG zur Einhaltung der Revisionsfrist auseinander. Ebenso wenig befasst sie sich mit den Voraussetzungen von Art. 123 Abs. 2 lit. a BGG (vgl. dazu BGE 143 III 272 E. 2.2; Urteil 4F_7/2020 vom 22. Februar 2021 E. 4, zur Publikation vorgesehen). Insbesondere zeigt sie nicht auf, dass sie die im Betriebsdatenblatt 2007 enthaltenen Angaben in den früheren Verfahren trotz hinreichender Sorgfalt nicht vorbringen bzw. das Dokument damals unverschuldet nicht einreichen konnte. In dieser Hinsicht fehlt es an einer rechtsgenüglichen Begründung des Gesuchs (vgl. oben E. 1). Darauf ist nicht einzutreten.</w:t>
      </w:r>
    </w:p>
    <w:p>
      <w:r>
        <w:rPr>
          <w:b/>
        </w:rPr>
        <w:t>E. 2.3</w:t>
      </w:r>
    </w:p>
    <w:p>
      <w:r>
        <w:t>Eine unzutreffende beweismässige oder rechtliche Würdigung von Tatsachen unterliegt nicht der Revision (vgl. Urteil 1F_23/2020 vom 17. September 2020 E. 3.1 mit Hinweisen). Mit Kritik an der rechtlichen Würdigung kann ein Revisionsbegehren nicht begründet werden. Auf die diesbezüglichen Vorbringen der Gesuchstellerin ist nicht einzutreten.</w:t>
      </w:r>
    </w:p>
    <w:p>
      <w:r>
        <w:rPr>
          <w:b/>
        </w:rPr>
        <w:t>E. 3</w:t>
      </w:r>
    </w:p>
    <w:p>
      <w:r>
        <w:t>Nach dem Gesagten ist auf das Revisionsgesuch nicht einzutreten. Bei diesem Ausgang des Verfahrens trägt die Gesuchstellerin die Kosten ( Art. 66 Abs. 1 BGG ). Im Übrigen behält sich das Bundesgericht vor, inskünftig ähnliche Eingaben in der vorliegenden Angelegenheit formlos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