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1F_20/2019 vom 25. April 2019</w:t>
      </w:r>
    </w:p>
    <w:p>
      <w:r>
        <w:t>Bundesgericht, 2019-04-25, DE</w:t>
      </w:r>
    </w:p>
    <w:p>
      <w:r>
        <w:rPr>
          <w:b/>
        </w:rPr>
        <w:t xml:space="preserve">Quelle: </w:t>
      </w:r>
      <w:r>
        <w:t>https://mcp.opencaselaw.ch/entscheid/bger_1F_20_2019</w:t>
      </w:r>
    </w:p>
    <w:p>
      <w:r>
        <w:t>FR: TF 1F_20/2019 du 25 avril 2019</w:t>
      </w:r>
    </w:p>
    <w:p>
      <w:r>
        <w:t>IT: TF 1F_20/2019 del 25 aprile 2019</w:t>
      </w:r>
    </w:p>
    <w:p>
      <w:pPr>
        <w:pStyle w:val="Heading2"/>
      </w:pPr>
      <w:r>
        <w:t>Erwägungen</w:t>
      </w:r>
    </w:p>
    <w:p>
      <w:r>
        <w:rPr>
          <w:b/>
        </w:rPr>
        <w:t>E. 1</w:t>
      </w:r>
    </w:p>
    <w:p>
      <w:r>
        <w:t>Der Gesuchsteller beruft sich auf die Revisionsgründe von Art. 121 lit. c und d BGG . Danach kann die Revision eines Entscheids des Bundesgerichts verlangt werden, wenn einzelne Anträge unbeurteilt geblieben sind (lit. c) und wenn das Bundesgericht in den Akten liegende erhebliche Tatsachen aus Versehen nicht berücksichtigt hat (lit. d).</w:t>
      </w:r>
    </w:p>
    <w:p>
      <w:r>
        <w:rPr>
          <w:b/>
        </w:rPr>
        <w:t>E. 2.1</w:t>
      </w:r>
    </w:p>
    <w:p>
      <w:r>
        <w:t>Das Bundesgericht ist auf die Beschwerde in öffentlich-rechtlichen Angelegenheiten vom 31. Dezember 2018 gestützt auf Art. 93 Abs. 1 lit. a BGG nicht eingetreten. Es hat festgehalten, es sei nicht ersichtlich, inwiefern dem Gesuchsteller durch die ihm gewährte, vollständige Akteneinsicht am Sitz des Kantonsgerichts nicht nur ein praktischer, sondern ein nicht wieder gutzumachender rechtlicher Nachteil entstehen soll.</w:t>
      </w:r>
    </w:p>
    <w:p>
      <w:r>
        <w:rPr>
          <w:b/>
        </w:rPr>
        <w:t>E. 2.2</w:t>
      </w:r>
    </w:p>
    <w:p>
      <w:r>
        <w:t>Der Gesuchsteller macht vorliegend geltend, das Bundesgericht habe dabei erhebliche Tatsachen nicht berücksichtigt. Es ergebe sich "über jeden Zweifel hinweg", dass die abzuhörenden Tonaufnahmen manipuliert worden seien. Diesen Umstand könne er nur beweisen, wenn ihm die Akten zugestellt würden und er eine spezialisierte Firma beauftragen könne, diese Fälschungen aufzudecken. Weiter habe das Bundesgericht ausser Acht gelassen, dass einem Rechtsanwalt die Akten zugestellt würden. Da er sich selbst verteidige, seien ihm die Akten ebenfalls zuzustellen.</w:t>
      </w:r>
    </w:p>
    <w:p>
      <w:r>
        <w:rPr>
          <w:b/>
        </w:rPr>
        <w:t>E. 2.3</w:t>
      </w:r>
    </w:p>
    <w:p>
      <w:r>
        <w:t>Bei diesen Ausführungen des Gesuchstellers handelt es sich nicht um Revisionsgründe. Dass konkrete in den Akten liegende erhebliche Tatsachen - und nicht lediglich Behauptungen des Gesuchstellers - aus Versehen nicht berücksichtigt worden wären, wird nicht aufgezeigt und ist auch nicht ersichtlich. Der Gesuchsteller wendet sich vorliegend vielmehr gegen die rechtliche Würdigung des Bundesgerichts. Dafür steht die Revision jedoch nicht zur Verfügung. Soweit der Gesuchsteller weiter geltend macht, das Bundesgericht habe wider besseren Wissens alle von ihm gestellten Anträge zur Zustellung des Beweismaterials als irrelevant ignoriert, ist ebenfalls nicht ersichtlich, welche Anträge im Hinblick auf die Zulässigkeit der Beschwerde im bundesgerichtlichen Nichteintretensentscheid vom 13. März 2019 unbeantwortet geblieben sein sollen.</w:t>
      </w:r>
    </w:p>
    <w:p>
      <w:r>
        <w:rPr>
          <w:b/>
        </w:rPr>
        <w:t>E. 3</w:t>
      </w:r>
    </w:p>
    <w:p>
      <w:r>
        <w:t>Auf das Revisionsgesuch ist nach dem Gesagten nicht einzutreten. Bei diesem Ausgang des Verfahrens trägt der Gesuchsteller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