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1F_20/2009 vom 7. Januar 2010</w:t>
      </w:r>
    </w:p>
    <w:p>
      <w:r>
        <w:t>Bundesgericht, 2010-01-07, FR</w:t>
      </w:r>
    </w:p>
    <w:p>
      <w:r>
        <w:rPr>
          <w:b/>
        </w:rPr>
        <w:t xml:space="preserve">Quelle: </w:t>
      </w:r>
      <w:r>
        <w:t>https://mcp.opencaselaw.ch/entscheid/bger_1F_20_2009</w:t>
      </w:r>
    </w:p>
    <w:p>
      <w:r>
        <w:t>FR: TF 1F_20/2009 du 7 janvier 2010</w:t>
      </w:r>
    </w:p>
    <w:p>
      <w:r>
        <w:t>IT: TF 1F_20/2009 del 7 gennaio 2010</w:t>
      </w:r>
    </w:p>
    <w:p>
      <w:pPr>
        <w:pStyle w:val="Heading2"/>
      </w:pPr>
      <w:r>
        <w:t>Erwägungen</w:t>
      </w:r>
    </w:p>
    <w:p>
      <w:r>
        <w:rPr>
          <w:b/>
        </w:rPr>
        <w:t>E. 1</w:t>
      </w:r>
    </w:p>
    <w:p>
      <w:r>
        <w:t>En vertu de l' art. 121 LTF , la révision d'un arrêt du Tribunal fédéral peut être demandée notamment si, par inadvertance, le tribunal n'a pas pris en considération des faits pertinents qui ressortent du dossier (let. d). La demande doit être présentée dans les trente jours qui suivent la réception de l'arrêt ( art. 124 al. 1 let. b LTF ). En l'occurrence, le requérant a agi en temps utile.</w:t>
      </w:r>
    </w:p>
    <w:p>
      <w:r>
        <w:rPr>
          <w:b/>
        </w:rPr>
        <w:t>E. 2</w:t>
      </w:r>
    </w:p>
    <w:p>
      <w:r>
        <w:t>Le motif de révision prévu à l' art. 121 let . d LTF correspond à celui qui était prévu à l' art. 136 let . d de l'ancienne loi d'organisation judiciaire (OJ). La jurisprudence à ce propos est donc toujours valable (arrêt 1F_16/2008 du 11 août 2008, SJ 2008 I p. 465). L'inadvertance au sens de l' art. 121 let . d LTF suppose donc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il doit s'agir de faits pertinents, susceptibles d'entraîner une décision différente de celle qui a été prise et plus favorable au requérant (arrêt 1F_16/2008 du 11 août 2008, SJ 2008 I p. 465; ATF 122 II 17 consid. 3 p. 18 et les références).</w:t>
      </w:r>
    </w:p>
    <w:p>
      <w:r>
        <w:rPr>
          <w:b/>
        </w:rPr>
        <w:t>E. 2.1</w:t>
      </w:r>
    </w:p>
    <w:p>
      <w:r>
        <w:t>Le requérant se plaint de ce que le Tribunal fédéral n'avait pas en main une partie du dossier de la procédure, soit les classeurs des plaintes (numérotés de 2 à 10) et le procès-verbal du 8 juillet 2009. Il s'agissait des pièces sur lesquelles le recourant se fondait pour démontrer que le total des investissements opérés par les inculpés était de 31 millions de fr., et non de 800 millions comme l'avait retenu la Chambre d'accusation.</w:t>
      </w:r>
    </w:p>
    <w:p>
      <w:r>
        <w:rPr>
          <w:b/>
        </w:rPr>
        <w:t>E. 2.2</w:t>
      </w:r>
    </w:p>
    <w:p>
      <w:r>
        <w:t>Comme le relève le Juge d'instruction dans sa réponse, le dossier de la procédure cantonale a été remis le 18 juin 2009 à la Chambre d'accusation genevoise, afin qu'il soit transmis au Tribunal fédéral pour les besoins d'un recours formé précédemment dans la même affaire. Cette transmission comprenait notamment les sept premiers classeurs de plaintes (plaintes nos 1 à 24) et trois classeurs "information générale". Or, le requérant se fondait, pour étayer sa démonstration, sur les plaintes nos 1 à 24, qui étaient donc bien en possession du Tribunal fédéral. Les pièces en rapport avec les plaintes ultérieures (soit les plaintes nos 25 à 43, non encore numérotées au dossier) n'y figuraient certes pas, mais le requérant les avait dûment mentionnées dans les différents tableaux figurant dans son recours, de sorte que la cour de céans aurait pu en exiger la production si elle l'avait jugé utile.</w:t>
      </w:r>
    </w:p>
    <w:p>
      <w:r>
        <w:rPr>
          <w:b/>
        </w:rPr>
        <w:t>E. 2.3</w:t>
      </w:r>
    </w:p>
    <w:p>
      <w:r>
        <w:t>Les griefs soulevés par le requérant concernaient la nature des investissements opérés par les victimes - un seul fonds selon le requérant -, la durée et le montant de ceux-ci. Le requérant entendait ainsi principalement démontrer que les immeubles saisis ne pouvaient constituer des "producta sceleris". Le Tribunal fédéral n'a pas méconnu l'argumentation de détail présentée à ce sujet, mais il l'a tenue pour prématurée: l'enquête, ouverte au mois de février 2009, n'en était qu'à ses débuts; il y avait lieu de s'assurer, en particulier, que l'ensemble des investisseurs concernés s'était bien manifesté et que, dès lors, les montants investis et les rémunérations perçues étaient définitivement connus. En tant qu'elles devaient servir à démontrer que les immeubles saisis n'étaient pas le produit des infractions, les pièces invoquées n'étaient pas non plus pertinentes, car il n'était pas exclu que ces biens, même d'origine licite, puissent servir au paiement d'une créance compensatrice (consid. 3.2).</w:t>
      </w:r>
    </w:p>
    <w:p>
      <w:r>
        <w:t>Dans le contexte de mesures provisionnelles fondées sur l'apparence, le Tribunal fédéral a délibérément refusé de tenir compte des pièces auxquelles se référait le requérant, dans l'attente d'une instruction plus complète. Il s'agit non pas d'une inadvertance, mais d'une considération de droit sur laquelle le requérant ne saurait revenir par le biais d'une demande de révision.</w:t>
      </w:r>
    </w:p>
    <w:p>
      <w:r>
        <w:rPr>
          <w:b/>
        </w:rPr>
        <w:t>E. 3</w:t>
      </w:r>
    </w:p>
    <w:p>
      <w:r>
        <w:t>Celle-ci doit par conséquent être rejetée, aux frais du requérant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