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1F_1/2019 vom 19. März 2019</w:t>
      </w:r>
    </w:p>
    <w:p>
      <w:r>
        <w:t>Bundesgericht, 2019-03-19, DE</w:t>
      </w:r>
    </w:p>
    <w:p>
      <w:r>
        <w:rPr>
          <w:b/>
        </w:rPr>
        <w:t xml:space="preserve">Quelle: </w:t>
      </w:r>
      <w:r>
        <w:t>https://mcp.opencaselaw.ch/entscheid/bger_1F_1_2019</w:t>
      </w:r>
    </w:p>
    <w:p>
      <w:r>
        <w:t>FR: TF 1F_1/2019 du 19 mars 2019</w:t>
      </w:r>
    </w:p>
    <w:p>
      <w:r>
        <w:t>IT: TF 1F_1/2019 del 19 marzo 2019</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wirft dem Bundesgericht vor, ihm anderes zugesprochen zu haben, als er selbst verlangt und weniger, als die Gegenpartei anerkannt habe ( Art. 121 lit. b BGG ). Zudem habe es einzelne Anträge nicht beurteilt ( Art. 121 lit. c BGG ).</w:t>
      </w:r>
    </w:p>
    <w:p>
      <w:r>
        <w:rPr>
          <w:b/>
        </w:rPr>
        <w:t>E. 2.1</w:t>
      </w:r>
    </w:p>
    <w:p>
      <w:r>
        <w:t>Soweit der Gesuchsteller sich auf die Revisionsgründe von Art. 121 lit. b BGG beruft und geltend macht, das Bundesgericht habe ihm anderes zugesprochen, als er verlangt, und weniger, als die Gegenpartei zugestanden habe, ist das Gesuch unverständlich und geht an der Sache vorbei, weil ihm das Bundesgericht im Urteil 1C_606/2018 nichts zugesprochen hat, sondern auf die Beschwerde aus formellen Gründen nicht eingetreten ist.</w:t>
      </w:r>
    </w:p>
    <w:p>
      <w:r>
        <w:rPr>
          <w:b/>
        </w:rPr>
        <w:t>E. 2.2</w:t>
      </w:r>
    </w:p>
    <w:p>
      <w:r>
        <w:t>Das Gleiche gilt auch für den Vorwurf, das Bundesgericht habe einzelne Anträge unbeurteilt gelassen. Da die Sachurteilsvoraussetzungen für die Behandlung der Beschwerde nicht erfüllt waren, hat es sich mit der Streitsache nicht materiell auseinandergesetzt und keine Anträge in der Sache beurteilt.</w:t>
      </w:r>
    </w:p>
    <w:p>
      <w:r>
        <w:t>Soweit der Gesuchsteller sinngemäss geltend machen will, seine Beschwerde habe den gesetzlichen Begründungsanforderungen genügt und das Bundesgericht sei auf die Beschwerde unter Verletzung von Bundesrecht nicht eingetreten, ist er nicht zu hören, da eine derartige Kritik an der rechtlichen Würdigung im Revisionsverfahren unzulässig ist.</w:t>
      </w:r>
    </w:p>
    <w:p>
      <w:r>
        <w:rPr>
          <w:b/>
        </w:rPr>
        <w:t>E. 2.3</w:t>
      </w:r>
    </w:p>
    <w:p>
      <w:r>
        <w:t>Ausserhalb des Streitgegenstands des Revisionsverfahrens und damit unzulässig ist der mit nachträglicher Eingabe vom 14. Februar 2019 gestellte Antrag, "die laufende Verwertung der Vermögenswerte bis zur Klärung der Sachlage zu sistieren" und die Staatsanwaltschaft III des Kantons Zürich sowie das Betreibungsamt Niederhasli dahingehend zu informieren.</w:t>
      </w:r>
    </w:p>
    <w:p>
      <w:r>
        <w:rPr>
          <w:b/>
        </w:rPr>
        <w:t>E. 3</w:t>
      </w:r>
    </w:p>
    <w:p>
      <w:r>
        <w:t>Damit ist das Revisionsgesuch abzuweisen, soweit darauf einzutreten ist. Auf die Erhebung von Kosten kann ausnahmsweise verzichtet werden. Das Gesuch um unentgeltliche Rechtspflege und Verbeiständung ist, soweit es nicht durch die Kostenbefreiung gegenstandslos geworden ist, abzuweisen, da das Revisionsgesuch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