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18/2020 vom 24. August 2020</w:t>
      </w:r>
    </w:p>
    <w:p>
      <w:r>
        <w:t>Bundesgericht, 2020-08-24, IT</w:t>
      </w:r>
    </w:p>
    <w:p>
      <w:r>
        <w:rPr>
          <w:b/>
        </w:rPr>
        <w:t xml:space="preserve">Quelle: </w:t>
      </w:r>
      <w:r>
        <w:t>https://mcp.opencaselaw.ch/entscheid/bger_1F_18_2020</w:t>
      </w:r>
    </w:p>
    <w:p>
      <w:r>
        <w:t>FR: TF 1F 18/2020 du 24 août 2020</w:t>
      </w:r>
    </w:p>
    <w:p>
      <w:r>
        <w:t>IT: TF 1F 18/2020 del 24 agosto 2020</w:t>
      </w:r>
    </w:p>
    <w:p>
      <w:pPr>
        <w:pStyle w:val="Heading2"/>
      </w:pPr>
      <w:r>
        <w:t>Regeste</w:t>
      </w:r>
    </w:p>
    <w:p>
      <w:r>
        <w:t>Domanda di revisione della sentenza del Tribunale federale svizzero 1F_9/2020 del 17 giugno 2020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domanda di "astensione" del presidente Chaix e del cancelliere Crameri dall'intervenire nel presente giudizio è inammissibile, poiché formulata in maniera generica e senza sostanziare alcun motivo di ricusazione ai sensi dell' art. 34 cpv. 1 LTF , motivo per cui si può prescindere dall'avvio della procedura prevista all' art. 37 LTF . In effetti, come noto agli istanti, dalla partecipazione a decisioni terminate con un esito a loro sfavorevole, in particolare quella oggetto dell'istanza di revisione in esame, non può essere dedotta alcuna prevenzione ( art. 34 cpv. 2 LTF ; sentenza 5A_530/2020 del 29 luglio 2020 consid. 4 che li concerne).</w:t>
      </w:r>
    </w:p>
    <w:p>
      <w:r>
        <w:rPr>
          <w:b/>
        </w:rPr>
        <w:t>E. 1.2</w:t>
      </w:r>
    </w:p>
    <w:p>
      <w:r>
        <w:t>Secondo la costante prassi, nota agli istanti (sentenza 1B_408/2018 del 13 settembre 2018 consid. 2.2 che li riguarda), il Tribunale federale non fa precedere le sue decisioni da una comunicazione sulla composizione della Corte giudicante ( DTF 144 I 37 consid. 2.3.3 pag. 43).</w:t>
      </w:r>
    </w:p>
    <w:p>
      <w:r>
        <w:rPr>
          <w:b/>
        </w:rPr>
        <w:t>E. 1.3</w:t>
      </w:r>
    </w:p>
    <w:p>
      <w:r>
        <w:t>Con decisioni cautelari del 30 settembre 2019 e del 9 dicembre 2019, l'Autorità regionale di protezione 9 sede di Torricella-Taverne ha nominato all'istante due curatori di rappresentanza giusta l' art. 394 CC , con il compito, in particolare, di rappresentarlo nei procedimenti giudiziari civili o amministrativi. Con scritto del 17 agosto 2020 il co-curatore avv. Pascal Cattaneo ha comunicato al Tribunale federale di non ratificare - limitatamente a A.________ - la domanda di revisione, chiedendo l'esenzione dal pagamento di spese giudiziarie. In quanto presentata da A.________ l'istanza è quindi inammissibile.</w:t>
      </w:r>
    </w:p>
    <w:p>
      <w:r>
        <w:rPr>
          <w:b/>
        </w:rPr>
        <w:t>E. 2.1</w:t>
      </w:r>
    </w:p>
    <w:p>
      <w:r>
        <w:t>Giusta l' art. 121 LTF , la revisione di una sentenza del Tribunale federale può essere domandata, segnatamente, se sono state violate le norme concernenti la composizione del Tribunale o la ricusazione (lett. a), se il Tribunale non ha giudicato su singole conclusioni (lett. c) o se il Tribunale, per svista, non ha tenuto conto di fatti rilevanti che risultano dagli atti (lett. d). Per essere ammissibile l'istanza di revisione dev'essere motivata: l'istante deve confrontarsi con la sentenza di cui chiede la revisione e spiegare per quale ragione ritiene sussistere un motivo di revisione ( art. 42 cpv. 2 LTF ).</w:t>
      </w:r>
    </w:p>
    <w:p>
      <w:r>
        <w:rPr>
          <w:b/>
        </w:rPr>
        <w:t>E. 2.2</w:t>
      </w:r>
    </w:p>
    <w:p>
      <w:r>
        <w:t>B.________, accennando all' art. 38 cpv. 3 LTF , fonda la domanda di revisione su un'asserita lesione di norme concernenti la composizione della Corte giudicante e sulla ricusazione. Al riguardo ella ripropone semplicemente, in maniera inammissibile, le censure già esaminate e respinte nella sentenza dedotta in revisione, in particolare l'infondata critica circa la mancata comunicazione anticipata della composizione della Corte, nonché il fatto che non è stato richiamato l'incarto cantonale né è stato ordinato uno scambio di scritti, provvedimenti superflui, visto che il ricorso e la domanda di revisione erano inammissibili. Ella non è poi legittimata a far valere che il Tribunale federale non avrebbe appurato la validità della ratifica di rappresentanza dei curatori nei confronti di A.________ (sul tema vedi sentenza 5A_155/2020 del 30 marzo 2020 consid. 1 e 2 nei loro confronti). Il quesito era stato del resto trattato, ricordato tuttavia che sia il ricorso sia la domanda di revisione, in quanto proposti da B.________, erano stati dichiarati inammissibili per carenza di motivazione. Infine, le critiche alle nomine dei curatori e alla richiesta di destituirli esulano dall'oggetto del litigio.</w:t>
      </w:r>
    </w:p>
    <w:p>
      <w:r>
        <w:rPr>
          <w:b/>
        </w:rPr>
        <w:t>E. 3</w:t>
      </w:r>
    </w:p>
    <w:p>
      <w:r>
        <w:t>Del tutto generica, l'istanza di revisione, in quanto presentata da B.________, va ritenuta insufficientemente motivata ed è quindi inammissibile ( art. 42 cpv. 2 LTF ). La stessa può pertanto essere evasa senza ordinare uno scambio di scritti ( art. 127 LTF ). La generica domanda di assistenza giudiziaria, introdotta anche da B.________, che non ha peraltro dimostrato una sua eventuale indigenza, va respinta in ragione dell'assenza di possibilità di esito favorevole della domanda di revisione ( art. 64 cpv. 1 LTF ). Le spese giudiziarie sono pertanto poste a suo carico ( art. 66 cpv. 1 LTF ). Il Tribunale si riserva il diritto di archiviare senza risposta nuovi scritti concernenti la sentenza 1C_72/2020 del 5 marzo 2020 (cfr. art. 42 cpv. 7 LTF ; sentenza 5F_5/2020 del 7 aprile 2020 consid. 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