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1F_16/2007 vom 15. November 2007</w:t>
      </w:r>
    </w:p>
    <w:p>
      <w:r>
        <w:t>Bundesgericht, 2007-11-15, DE</w:t>
      </w:r>
    </w:p>
    <w:p>
      <w:r>
        <w:rPr>
          <w:b/>
        </w:rPr>
        <w:t xml:space="preserve">Quelle: </w:t>
      </w:r>
      <w:r>
        <w:t>https://mcp.opencaselaw.ch/entscheid/bger_1F_16_2007</w:t>
      </w:r>
    </w:p>
    <w:p>
      <w:r>
        <w:t>FR: TF 1F_16/2007 du 15 novembre 2007</w:t>
      </w:r>
    </w:p>
    <w:p>
      <w:r>
        <w:t>IT: TF 1F_16/2007 del 15 novembre 2007</w:t>
      </w:r>
    </w:p>
    <w:p>
      <w:pPr>
        <w:pStyle w:val="Heading2"/>
      </w:pPr>
      <w:r>
        <w:t>Erwägungen</w:t>
      </w:r>
    </w:p>
    <w:p>
      <w:r>
        <w:rPr>
          <w:b/>
        </w:rPr>
        <w:t>E. 1</w:t>
      </w:r>
    </w:p>
    <w:p>
      <w:r>
        <w:t>Auf das nach dem 1. Januar 2007 und damit unter der Herrschaft des Bundesgerichtsgesetzes vom 17. Juni 2005 (BGG; SR 173.110) eingereichte Revisionsgesuch ist das neue Recht anwendbar ( Art. 132 Abs. 1 OG ; vgl. BGE 133 IV 142 nicht veröffentlichte E. 1; Urteil 4F_1/2007 vom 13. März 2007 E. 2).</w:t>
      </w:r>
    </w:p>
    <w:p>
      <w:r>
        <w:rPr>
          <w:b/>
        </w:rPr>
        <w:t>E. 2</w:t>
      </w:r>
    </w:p>
    <w:p>
      <w:r>
        <w:t>Das Revisionsgesuch wurde fristgerecht eingereicht ( Art. 124 Abs. 1 lit. b BGG ) und genügend begründet ( Art. 42 Abs. 2 BGG ). Auf das Gesuch ist daher einzutreten.</w:t>
      </w:r>
    </w:p>
    <w:p>
      <w:r>
        <w:rPr>
          <w:b/>
        </w:rPr>
        <w:t>E. 3</w:t>
      </w:r>
    </w:p>
    <w:p>
      <w:r>
        <w:t>Gemäss Art. 121 BGG kann die Revision eines Entscheides des Bundesgerichts wegen Verletzung von Verfahrensvorschriften verlangt werden, u.a. wenn das Gericht in den Akten liegende erhebliche Tatsachen aus Versehen nicht berücksichtigt hat (lit. d). Dies entspricht dem bisherigen Revisionsgrund nach Art. 136 lit. d OG , weshalb auf die bundesgerichtliche Rechtsprechung zu dieser Bestimmung zurückgegriffen werden kann.</w:t>
      </w:r>
    </w:p>
    <w:p>
      <w:r>
        <w:rPr>
          <w:b/>
        </w:rPr>
        <w:t>E. 3.1</w:t>
      </w:r>
    </w:p>
    <w:p>
      <w:r>
        <w:t>Zu Art. 136 lit. d OG hat das Bundesgericht festgehalten, dass ein Versehen im Sinne dieser Bestimmung nur vorliegt, wenn das Gericht eine Tatsache oder ein bestimmtes Aktenstück übersehen oder mit einem falschen Wortlaut wahrgenommen hat; wenn jedoch die Tatsache oder das Aktenstück in der äusseren Erscheinung richtig wahrgenommen wurde, liegt kein Versehen vor, sondern allenfalls eine unzutreffende beweismässige oder rechtliche Würdigung, die mit der Versehensrüge nicht in Frage gestellt werden kann. Der Revisionsgrund liegt auch nicht vor, wenn das Bundesgericht eine Tatsache bewusst nicht berücksichtigt hat, weil es diese als unerheblich betrachtet hat ( BGE 122 II 17 E. 3 S. 18 f. mit Hinweisen). An dieser Rechtsprechung ist auch für Art. 121 lit. d BGG festzuhalten (Entscheid 4F_1/2007 vom 13. März 2007 E. 6.1).</w:t>
      </w:r>
    </w:p>
    <w:p>
      <w:r>
        <w:rPr>
          <w:b/>
        </w:rPr>
        <w:t>E. 3.2</w:t>
      </w:r>
    </w:p>
    <w:p>
      <w:r>
        <w:t>Die Gesuchsteller machen geltend, das Bundesgericht habe verschiedene Stellen in der Rekursschrift vom 7. November 2005 und im Entscheid der Baurekurskommission vom 24. März 2006 sowie eine die Bewilligungspflicht der temporären Abstellplätze betreffende Erwägung im Beschluss des Gemeinderats Uitikon vom 3. Oktober 2005 offensichtlich aus Versehen überhaupt nicht oder jedenfalls nicht in ihrer wahren Gestalt, insbesondere nicht mit ihrem wirklichen und vollständigen Wortlaut, wahrgenommen. Aufgrund dieses Versehens habe es angenommen, dass sich der Streitgegenstand des verwaltungsgerichtlichen Verfahrens auf die Frage der Baubewilligungspflicht der Weihnachtsbeleuchtung beschränkt und nicht auch die Bewilligungspflicht der temporären Abstellplätze umfasst habe.</w:t>
      </w:r>
    </w:p>
    <w:p>
      <w:r>
        <w:rPr>
          <w:b/>
        </w:rPr>
        <w:t>E. 3.3</w:t>
      </w:r>
    </w:p>
    <w:p>
      <w:r>
        <w:t>Das Bundesgericht stellte für die Bestimmung des Streitgegenstands (E. 3 des bundesgerichtlichen Entscheids) auf das Dispositiv der gemeinderätlichen Verfügung vom 3. Oktober 2005 ab, das sich seinem Wortlaut nach auf die Baubewilligungspflicht der Weihnachtsbeleuchtung beschränkte, auf den formellen Rekursantrag der Gesuchsteller (Aufhebung dieser Verfügung), auf die Umschreibung des Streitgegenstandes im ersten Satz von E. 2.1 des Entscheids der Baurekurskommission sowie auf die Rückweisung an die Gemeinde, um die Vereinbarkeit "der Beleuchtungsinstallation" mit dem materiellen Recht in einem Baubewilligungsverfahren zu prüfen (E. 3.6 des Rekursentscheides).</w:t>
      </w:r>
    </w:p>
    <w:p>
      <w:r>
        <w:t>E. 3.5 des Baurekursentscheids, auf den sich die Gesuchsteller berufen, wurde vom Bundesgericht als Hinweis auf "weitere baurechtliche Fragen" verstanden, die möglicherweise im Baubewilligungsverfahren zu prüfen seien, jedoch nicht Gegenstand des Rekursverfahrens bildeten (vergleichbar dem Obiter dictum in E. 5.6 des bundesgerichtlichen Entscheids). Die übrigen von den Gesuchstellern zitierten Aktenstellen erachtete das Bundesgericht nicht als erheblich. Damit beruht der bundesgerichtliche Entscheid nicht auf einem Versehen, sondern auf einer, von der Auffassung der Gesuchsteller abweichenden, rechtlichen Würdigung der in den Akten liegenden Tatsachen.</w:t>
      </w:r>
    </w:p>
    <w:p>
      <w:r>
        <w:rPr>
          <w:b/>
        </w:rPr>
        <w:t>E. 4</w:t>
      </w:r>
    </w:p>
    <w:p>
      <w:r>
        <w:t>Nach dem Gesagten erweist sich das Revisionsgesuch als unbegründet und ist abzuweisen. Somit besteht auch kein Grund, weitere Akten beizuziehen.</w:t>
      </w:r>
    </w:p>
    <w:p>
      <w:r>
        <w:t>Bei diesem Ausgang des Verfahrens tragen die Gesuchsteller die Gerichtskosten (Art. 65 f. BGG). Da kein Schriftenwechsel durchgeführt wurde (vgl. Art. 127 BGG ), ist auch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