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1F_14/2015 vom 19. August 2015</w:t>
      </w:r>
    </w:p>
    <w:p>
      <w:r>
        <w:t>Bundesgericht, 2015-08-19, DE</w:t>
      </w:r>
    </w:p>
    <w:p>
      <w:r>
        <w:rPr>
          <w:b/>
        </w:rPr>
        <w:t xml:space="preserve">Quelle: </w:t>
      </w:r>
      <w:r>
        <w:t>https://mcp.opencaselaw.ch/entscheid/bger_1F_14_2015</w:t>
      </w:r>
    </w:p>
    <w:p>
      <w:r>
        <w:t>FR: TF 1F_14/2015 du 19 août 2015</w:t>
      </w:r>
    </w:p>
    <w:p>
      <w:r>
        <w:t>IT: TF 1F_14/2015 del 19 agosto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1F_14/2015</w:t>
      </w:r>
    </w:p>
    <w:p>
      <w:r>
        <w:t>Urteil vom 19. August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Chaix, Kneubühler,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Grosser Rat des Kantons Thurgau,</w:t>
      </w:r>
    </w:p>
    <w:p>
      <w:r>
        <w:t>Gesuchsgegner.</w:t>
      </w:r>
    </w:p>
    <w:p>
      <w:r>
        <w:t>Gegenstand</w:t>
      </w:r>
    </w:p>
    <w:p>
      <w:r>
        <w:t>Revisionsgesuch gegen die Urteile des Schweizerischen Bundesgerichts 1C_13/2015 vom 15. Januar 2015 und 1C_103/2015 vom 20. Februar 2015.</w:t>
      </w:r>
    </w:p>
    <w:p>
      <w:r>
        <w:t>In Erwägung,</w:t>
      </w:r>
    </w:p>
    <w:p>
      <w:r>
        <w:t>dass die A.________ mit Eingabe vom 5. Januar 2015 "Rekurs/Beschwerde gegen den Entscheid des Grossen Rates Thurgau vom 3. Dezember 2014 betreffend der 2. Thurkorrektion, Hochwasserschutzprojekt Weinfelden-Bürglen¨ erhoben und insoweit eine Volksabstimmung verlangt hat;</w:t>
      </w:r>
    </w:p>
    <w:p>
      <w:r>
        <w:t>dass das Bundesgericht mit Urteil vom 15. Januar 2015 (1C_13/2015) auf die Beschwerde mangels einer hinreichenden Begründung im Sinne von Art. 42 Abs. 2 BGG nicht eingetreten ist;</w:t>
      </w:r>
    </w:p>
    <w:p>
      <w:r>
        <w:t>dass die A.________ am 12. Februar 2015 mit einer "überarbeiteten Beschwerdeschrift" erneut Beschwerde gegen den Beschluss des Grossen Rates des Kantons Thurgau vom 3. Dezember 2014 erhoben hat;</w:t>
      </w:r>
    </w:p>
    <w:p>
      <w:r>
        <w:t>dass das Bundesgericht mit Urteil vom 20. Februar 2015 (1C_103/2015) auf die Beschwerde wegen offensichtlich verspäteter Beschwerdeeinreichung nicht eingetreten ist;</w:t>
      </w:r>
    </w:p>
    <w:p>
      <w:r>
        <w:t>dass die A.________ mit Eingabe vom 15. April 2015 erneut "Rekurs/Beschwerde gegen den Entscheid des Grossen Rates Thurgau vom 3. Dezember 2014" erhoben und um Wiedererwägung der bundesgerichtlichen Urteile 1C_13/2015 und 1C_103/2015 ersucht hat;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 vom 15. April 2015 somit als Revisionsgesuch entgegenzunehmen ist;</w:t>
      </w:r>
    </w:p>
    <w:p>
      <w:r>
        <w:t>dass die Gesuchstellerin keinen Revisionsgrund nennt und sich aus der Eingabe nicht ergibt, inwiefern die bundesgerichtlichen Urteile vom 15. Januar 2015 und 20. Februar 2015 an einem Revisionsgrund leiden sollten;</w:t>
      </w:r>
    </w:p>
    <w:p>
      <w:r>
        <w:t>dass daher ohne Schriftenwechsel ( Art. 127 BGG ) auf das Revisionsgesuch nicht einzutreten ist;</w:t>
      </w:r>
    </w:p>
    <w:p>
      <w:r>
        <w:t>dass sich die Eingabe der Gesuchstellerin als offensichtlich aussichtslos erweist, weshalb das Gesuch um unentgeltliche Rechtspflege abzuweisen ist ( Art. 64 BGG );</w:t>
      </w:r>
    </w:p>
    <w:p>
      <w:r>
        <w:t>dass die Gerichtskosten dem Ausgang des Verfahrens entsprechend der Gesuchstellerin aufzuerlegen sind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500.-- werden der Gesuchstellerin auferlegt.</w:t>
      </w:r>
    </w:p>
    <w:p>
      <w:r>
        <w:t>4.</w:t>
      </w:r>
    </w:p>
    <w:p>
      <w:r>
        <w:t>Dieses Urteil wird der Gesuchstellerin und dem Grossen Rat des Kantons Thurgau schriftlich mitgeteilt.</w:t>
      </w:r>
    </w:p>
    <w:p>
      <w:r>
        <w:t>Lausanne, 19. August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