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1F_12/2014 vom 22. Mai 2014</w:t>
      </w:r>
    </w:p>
    <w:p>
      <w:r>
        <w:t>Bundesgericht, 2014-05-22, FR</w:t>
      </w:r>
    </w:p>
    <w:p>
      <w:r>
        <w:rPr>
          <w:b/>
        </w:rPr>
        <w:t xml:space="preserve">Quelle: </w:t>
      </w:r>
      <w:r>
        <w:t>https://mcp.opencaselaw.ch/entscheid/bger_1F_12_2014</w:t>
      </w:r>
    </w:p>
    <w:p>
      <w:r>
        <w:t>FR: TF 1F_12/2014 du 22 mai 2014</w:t>
      </w:r>
    </w:p>
    <w:p>
      <w:r>
        <w:t>IT: TF 1F_12/2014 del 22 maggio 2014</w:t>
      </w:r>
    </w:p>
    <w:p>
      <w:pPr>
        <w:pStyle w:val="Heading2"/>
      </w:pPr>
      <w:r>
        <w:t>Erwägungen</w:t>
      </w:r>
    </w:p>
    <w:p>
      <w:r>
        <w:rPr>
          <w:b/>
        </w:rPr>
        <w:t>E. 1</w:t>
      </w:r>
    </w:p>
    <w:p>
      <w:r>
        <w:t>La demande de révision vise deux arrêts distincts du Tribunal fédéral, raison pour laquelle deux dossiers ont été ouverts. Cela étant, compte tenu de la connexité des causes, celles-ci peuvent être jointes afin qu'il soit statué par un seul arrêt.</w:t>
      </w:r>
    </w:p>
    <w:p>
      <w:r>
        <w:rPr>
          <w:b/>
        </w:rPr>
        <w:t>E. 2</w:t>
      </w:r>
    </w:p>
    <w:p>
      <w:r>
        <w:t>L'accusé de réception adressé au requérant mentionne le Ministère public de l'Etat de Fribourg parmi les autres participants à la procédure; il n'y a dès lors pas lieu de le rectifier. Au demeurant, l'issue de la cause apparaissant évidente, il a été renoncé à toute réponse au recours dans le but d'éviter des frais supplémentaires au recourant. La désignation des parties est donc sans incidence sur la suite de la procédure.</w:t>
      </w:r>
    </w:p>
    <w:p>
      <w:r>
        <w:rPr>
          <w:b/>
        </w:rPr>
        <w:t>E. 3</w:t>
      </w:r>
    </w:p>
    <w:p>
      <w:r>
        <w:t>Le requérant invoque l' art. 123 al. 1 LTF . Selon cette disposition, la révision peut être demandée lorsqu'une procédure pénale établit que l'arrêt a été influencé au préjudice du requérant par un crime ou un délit, même si aucune condamnation n'est intervenue. Si l'action pénale n'est pas possible, la preuve peut être administrée autrement. Comme le relève pertinemment le requérant, s'agissant d'arrêts d'irrecevabilité fondés sur l'art. 81 al. 1 let. b ch. 5 LTF, il lui appartient donc d'établir que la commission d'un crime ou d'un délit l'aurait empêché de démontrer qu'il disposait de prétentions civiles au sens de cette disposition ( ATF 134 III 45 consid. 2.2 p. 47).</w:t>
      </w:r>
    </w:p>
    <w:p>
      <w:r>
        <w:rPr>
          <w:b/>
        </w:rPr>
        <w:t>E. 3.1</w:t>
      </w:r>
    </w:p>
    <w:p>
      <w:r>
        <w:t>Pour constituer un motif de révision, seuls peuvent être invoqués les faits découverts après coup. Ne constituent donc pas des motifs de révision une éventuelle violation du droit applicable ou une mauvaise appréciation juridique des faits. Il doit en outre s'agir de faits antérieurs au prononcé de l'arrêt, mais découverts après celui-ci; la nouveauté se rapporte ainsi à la découverte et non au fait lui-même, lequel doit avoir existé avant l'arrêt dont la révision est demandée. S'agissant de faits pénaux au sens de l' art. 123 LTF , il s'agit avant tout des délits relatifs à l'administration de la justice et des infractions de faux.</w:t>
      </w:r>
    </w:p>
    <w:p>
      <w:r>
        <w:rPr>
          <w:b/>
        </w:rPr>
        <w:t>E. 3.2</w:t>
      </w:r>
    </w:p>
    <w:p>
      <w:r>
        <w:t>Le requérant se fonde sur deux courriers des 6 et 13 janvier 2014 de l'avocate de son épouse présentant dans la procédure de séparation des conclusions nouvelles tendant à l'attribution de l'autorité parentale exclusive. Le requérant confirme qu'il s'agit là de conclusions nouvelles dans le procès civil (requête, p. 16 n° 56), et non de faits qui seraient antérieurs aux arrêts du Tribunal fédéral. Il ne s'agit d'ailleurs pas de faits nouvellement découverts, puisque selon le recourant, ces courriers "constituent une répétition des accusations formulées fin novembre 2010 et paraissent ainsi relever de la calomnie" (p. 14 n° 47 in fine). A eux seuls, ces courriers ne sauraient enfin équivaloir à une condamnation ou à une preuve de culpabilité au sens de l' art. 123 al. 1 LTF . Les conditions posées par cette disposition ne sont donc pas réunies.</w:t>
      </w:r>
    </w:p>
    <w:p>
      <w:r>
        <w:rPr>
          <w:b/>
        </w:rPr>
        <w:t>E. 3.3</w:t>
      </w:r>
    </w:p>
    <w:p>
      <w:r>
        <w:t>Le requérant relève que la procédure civile est pendante depuis novembre 2010. Il est certes possible que les infractions dénoncées par le recourant puissent avoir une influence, notamment sur la question de l'autorité parentale, mais il eût appartenu au recourant d'exposer clairement dans ses recours les enjeux de la procédure civile sur ces points. A priori, les actes contestés relevaient davantage du droit administratif et, à défaut d'être évidente, l'existence de prétentions civiles devait être clairement exposée.</w:t>
      </w:r>
    </w:p>
    <w:p>
      <w:r>
        <w:t>Quoiqu'il en soit, la demande de révision est fondée sur des faits postérieurs aux arrêts contestés, et la condition de l' art. 123 al. 1 LTF (soit l'existence d'agissements pénaux ayant pu influer sur le prononcé d'irrecevabilité) n'est clairement pas remplie.</w:t>
      </w:r>
    </w:p>
    <w:p>
      <w:r>
        <w:rPr>
          <w:b/>
        </w:rPr>
        <w:t>E. 4</w:t>
      </w:r>
    </w:p>
    <w:p>
      <w:r>
        <w:t>La demande de révision doit dès lors être rejetée, dans la mesure où elle est recevable. Cette issue rend sans objet la demande de mesures provisionnelles tendant à diverses auditions. Le requérant a demandé l'assistance judiciaire, mais ses demandes de révision apparaissaient d'emblée dénuées de chance de succès. Il y a dès lors lieu de mettre à sa charge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