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1F_11/2021 vom 17. März 2021</w:t>
      </w:r>
    </w:p>
    <w:p>
      <w:r>
        <w:t>Bundesgericht, 2021-03-17, FR</w:t>
      </w:r>
    </w:p>
    <w:p>
      <w:r>
        <w:rPr>
          <w:b/>
        </w:rPr>
        <w:t xml:space="preserve">Quelle: </w:t>
      </w:r>
      <w:r>
        <w:t>https://mcp.opencaselaw.ch/entscheid/bger_1F_11_2021</w:t>
      </w:r>
    </w:p>
    <w:p>
      <w:r>
        <w:t>FR: TF 1F_11/2021 du 17 mars 2021</w:t>
      </w:r>
    </w:p>
    <w:p>
      <w:r>
        <w:t>IT: TF 1F_11/2021 del 17 marzo 2021</w:t>
      </w:r>
    </w:p>
    <w:p>
      <w:pPr>
        <w:pStyle w:val="Heading2"/>
      </w:pPr>
      <w:r>
        <w:t>Erwägungen</w:t>
      </w:r>
    </w:p>
    <w:p>
      <w:r>
        <w:rPr>
          <w:b/>
        </w:rPr>
        <w:t>E. 1</w:t>
      </w:r>
    </w:p>
    <w:p>
      <w:r>
        <w:t>Dans le cadre d'une enquête instruite depuis 2009 notamment contre C.________ pour blanchiment d'argent aggravé et faux dans les titres, le Ministère public de la Confédération a ordonné, le 15 avril 2011, le séquestre d'un compte bancaire détenu par la société A.________ Ltd auprès de la Banque D.________, à Lucerne. De même, il a prononcé en date du 17 octobre 2014 le séquestre des avoirs déposés sur un compte ouvert au nom de la société B.________ SA auprès de la banque E._______, à Zurich.</w:t>
      </w:r>
    </w:p>
    <w:p>
      <w:r>
        <w:t>L'acte d'accusation a été adressé à la Cour des affaires pénales du Tribunal pénal fédéral le 20 février 2019.</w:t>
      </w:r>
    </w:p>
    <w:p>
      <w:r>
        <w:t>Le 5 octobre 2020, A.________ Ltd et B.________ SA ont requis la levée du séquestre les concernant et la restitution des avoirs portés sur leur compte.</w:t>
      </w:r>
    </w:p>
    <w:p>
      <w:r>
        <w:t>Le 8 novembre 2020, elles ont saisi la Cour des plaintes du Tribunal pénal fédéral de recours pour déni de justice que cette autorité a déclaré irrecevables, après les avoir joints, par décision du 11 novembre 2020.</w:t>
      </w:r>
    </w:p>
    <w:p>
      <w:r>
        <w:t>Le 22 décembre 2020, le Tribunal fédéral a annulé cette décision et a invité la Cour des plaintes à statuer dans les plus brefs délais sur les recours pour déni de justice déposés par A.________ Ltd et par B.________ SA (arrêt 1B_582/2020).</w:t>
      </w:r>
    </w:p>
    <w:p>
      <w:r>
        <w:t>Par décision du 19 janvier 2021, la Cour des plaintes a constaté que les recours étaient devenus sans objet suite aux décisions de la Cour des affaires pénales du 19 novembre 2020 statuant sur les requêtes de levées de séquestres des recourantes et a rayé les causes du rôle.</w:t>
      </w:r>
    </w:p>
    <w:p>
      <w:r>
        <w:t>Statuant le 10 février 2021 selon la procédure simplifiée de l' art. 108 al. 1 let . c LTF, le Tribunal fédéral a déclaré irrecevable le recours formé le 8 février 2021 contre cette décision par A.________ Ltd et B.________ SA (arrêt 1B_63/2021).</w:t>
      </w:r>
    </w:p>
    <w:p>
      <w:r>
        <w:t>Par acte daté du 24 février 2021 et posté le 1</w:t>
      </w:r>
    </w:p>
    <w:p>
      <w:r>
        <w:t>er mars 2021, A.________ Ltd et B.________ SA ont saisi le Tribunal fédéral d'une demande tendant à la reddition d'un nouvel arrêt sur leur recours du 8 février 2021 après la fixation d'un échange d'écritures. Elles reprochent en substance à la Cour des plaintes d'avoir trompé le Tribunal fédéral en indiquant que la Cour des affaires pénales avait statué sur leur requête de levée de séquestre le 19 novembre 2019. La Cour des affaires pénales n'aurait jamais rendu de décision sujette à recours et la Cour des plaintes se refuserait indûment et sous de faux prétextes à statuer au fond sur la validité des séquestres.</w:t>
      </w:r>
    </w:p>
    <w:p>
      <w:r>
        <w:rPr>
          <w:b/>
        </w:rPr>
        <w:t>E. 2</w:t>
      </w:r>
    </w:p>
    <w:p>
      <w:r>
        <w:t>Le Tribunal fédéral examine d'office et librement la recevabilité des écritures qui lui sont soumises.</w:t>
      </w:r>
    </w:p>
    <w:p>
      <w:r>
        <w:t>En vertu de l' art. 61 LTF , les arrêts du Tribunal fédéral acquièrent force de chose jugée le jour où ils sont prononcés. Ils sont définitifs et ne sont pas susceptibles d'un recours ordinaire sur le plan interne. Seule la voie extraordinaire de la révision est ouverte pour les remettre en cause ou en obtenir le réexamen; la requête de nouveau jugement formulée par A.________ Ltd et B.________ SA le 24 février 2021 doit ainsi être traitée comme une demande de révision de l'arrêt 1B_63/2021, dont l'examen relève de la compétence de la cour qui a rendu l'arrêt, soit de la Ire Cour de droit public.</w:t>
      </w:r>
    </w:p>
    <w:p>
      <w:r>
        <w:t>La révision d'un arrêt du Tribunal fédéral ne peut être requise que pour l'un des motifs énoncés de manière exhaustive aux art. 121 ss LTF .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 1F_34/2020 du 26 novembre 2020 consid. 2.1.1).</w:t>
      </w:r>
    </w:p>
    <w:p>
      <w:r>
        <w:t>L'écriture de A.________ Ltd et B.________ SA ne satisfait pas à ces exigences. Les requérantes soutiennent, pour autant qu'on les comprenne, que la Cour des plaintes aurait induit le Tribunal fédéral en erreur en indiquant que la décision de la Cour des affaires pénales aurait statué le 19 novembre 2020 par des décisions sujettes à recours sur leur requête de levée de séquestre. Elles ne précisent pas le motif de révision auquel elles entendent rattacher leur grief. On ne discerne pas davantage d'emblée et sans équivoque lequel serait susceptible d'entrer en considération.</w:t>
      </w:r>
    </w:p>
    <w:p>
      <w:r>
        <w:rPr>
          <w:b/>
        </w:rPr>
        <w:t>E. 3</w:t>
      </w:r>
    </w:p>
    <w:p>
      <w:r>
        <w:t>L'écriture de A.________ Ltd et B.________ SA du 24 février 2021, traitée comme une demande de révision, doit par conséquent être déclarée irrecevable, sans autre mesure d'instruction ni échange d'écritures ( art. 127 LTF ). Le présent 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