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1E.9/2007 vom 28. April 2008</w:t>
      </w:r>
    </w:p>
    <w:p>
      <w:r>
        <w:t>Bundesgericht, 2008-04-28, DE</w:t>
      </w:r>
    </w:p>
    <w:p>
      <w:r>
        <w:rPr>
          <w:b/>
        </w:rPr>
        <w:t xml:space="preserve">Quelle: </w:t>
      </w:r>
      <w:r>
        <w:t>https://mcp.opencaselaw.ch/entscheid/bger_1E.9_2007</w:t>
      </w:r>
    </w:p>
    <w:p>
      <w:r>
        <w:t>FR: TF 1E.9/2007 du 28 avril 2008</w:t>
      </w:r>
    </w:p>
    <w:p>
      <w:r>
        <w:t>IT: TF 1E.9/2007 del 28 aprile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(1E.15/2007, 1E.16/2007; zur Publikation bestimmt).</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der Beschwerdeführerin durch direkte Überflüge betroffen werde und sich schon aus dieser Eigentumsverletzung ein Entschädigungsanspruch ergebe. Die Schätzungskommission hat einen solchen Anspruch verneint, da - wie das Bundesgericht in BGE 131 II 137 E. 3.2 dargelegt habe - die Abflüge nicht zu den gleichen Einwirkungen wie die Landeanflüge führten. Im Weiteren werde bei der hier fraglichen Liegenschaft die kritische Höhe für einen eigentlichen Überflug klar überschritten.</w:t>
      </w:r>
    </w:p>
    <w:p>
      <w:r>
        <w:t>Die Enteigner stimmen den Ausführungen der Schätzungskommission zu und bezeichnen die Entschädigungsforderung für Überflug zudem als verjährt. Die Beschwerdeführerin bringt vor, eine Entschädigung sei schon dann geschuldet, wenn ein Grundstück nur selten oder sogar bloss einmal überflogen werde, wobei auch nahe seitliche Vorbeiflüge mit in Betracht zu ziehen seien. Sie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der Beschwerdeführerin,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Beschwerdeführerin auf die zivilrechtlichen Prinzipien über die Ausübung und Abgeltung von Dienstbarkeiten geht demnach an der Sache vorbei.</w:t>
      </w:r>
    </w:p>
    <w:p>
      <w:r>
        <w:rPr>
          <w:b/>
        </w:rPr>
        <w:t>E. 4.3</w:t>
      </w:r>
    </w:p>
    <w:p>
      <w:r>
        <w:t>Die Beschwerdeführerin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von der Beschwerdeführerin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Beschwerdeführerin bestreitet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der Beschwerdeführerin liegt, etwa 200 m westlich der Pistenachse, rund 2 km vom Pistenende entfernt. In dieser Distanz drehen die startenden Flugzeuge bereits nach Osten ab. Das Grundstück der Beschwerdeführerin wird nicht direkt überflogen. Im Übrigen erreicht gemäss den Aufzeichnungen der Flugspuren die Grosszahl der Flugzeuge im fraglichen Bereich eine Höhe von über oder um die 400 m oder jedenfalls - bei sehr hohen Temperaturen - von über 300 m. Im vorliegenden Fall kann somit, wie die Schätzungskommission zu Recht erkannt hat, von eigentlichen Überflügen - d.h. wie dargelegt von regelmässigen direkten Überflügen in geringer Höhe - nicht die Rede sein. Die Prüfung der Verjährungsfrage erübrigt sich.</w:t>
      </w:r>
    </w:p>
    <w:p>
      <w:r>
        <w:rPr>
          <w:b/>
        </w:rPr>
        <w:t>E. 5</w:t>
      </w:r>
    </w:p>
    <w:p>
      <w:r>
        <w:t>Zu untersuchen bleibt, ob der Beschwerdeführerin ein Entschädigungsanspruch für die Unterdrückung ihrer nachbarlicher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131 II 394 E. 7.1 S. 402, E. 9.2 S. 410, E. 12 S. 414, je mit Hinweisen).</w:t>
      </w:r>
    </w:p>
    <w:p>
      <w:r>
        <w:t>Die Schätzungskommission hält nur zwei der drei Voraussetzungen für erfüllt. Im angefochtenen Entscheid wird ausgeführt, die Beschwerdeführerin habe das Grundstück Kat.-Nr. 3730 im Jahre 1990 als Erbvorbezug von ihrer Mutter übernommen, welche es ihrerseits im Jahre 1951 erworben habe. Das Mehrfamilienhaus sei 1954 erstellt worden. Damit sei die Voraussetzung der Unvorhersehbarkeit für die Liegenschaft erfüllt. Da die Immissionsgrenzwerte im fraglichen Gebiet, das der Empfindlichkeitsstufe II (ES II) zugewiesen sei, überschritten würden, sei auch die Voraussetzung der Spezialität der Einwirkungen gegeben. Was den fluglärmbedingten Minderwert betreffe, so sei dieser bei Ertragsliegenschaften wie dem umstrittenen Mehrfamilienhaus grundsätzlich anhand von Ertragswertschätzungen zu bestimmen. Die von der Beschwerdeführerin vorgelegten Unterlagen wiesen indes eine konstante Rendite aus. Die Bruttoerträge der sehr gut unterhaltenen Liegenschaft seien in den Jahren nach dem Stichtag gleich hoch geblieben. Ertragseinbussen seien nicht nachgewiesen. Die Mieterspiegel zeigten keinen übermässigen Mieterwechsel. Nach Neuvermietungen infolge Wechsel der Mieterschaft habe der Ertrag erhalten, teilweise sogar gesteigert werden können. Ein Minderwert im Sinne eines schweren Schadens im Verhältnis zum Gesamtwert der Liegenschaft (gemäss Schätzungskommission Fr. 1'830'164.--) sei aufgrund der Wirtschaftlichkeit des Objektes nicht festzustellen. Die Entschädigungsforderung sei demnach abzuweisen.</w:t>
      </w:r>
    </w:p>
    <w:p>
      <w:r>
        <w:t>Die Argumentation der Schätzungskommission wird von beiden Parteien kritisiert.</w:t>
      </w:r>
    </w:p>
    <w:p>
      <w:r>
        <w:rPr>
          <w:b/>
        </w:rPr>
        <w:t>E. 5.1</w:t>
      </w:r>
    </w:p>
    <w:p>
      <w:r>
        <w:t>Die Beschwerdeführerin weist darauf hin, dass bei Ertragsliegenschaften der Schadensnachweis nur schwer möglich sei und insbesondere in den Pilotfällen bloss geringe Mietzinsausfälle belegt werden könnten. Dies erkläre sich mit der zurzeit noch herrschenden Nachfrage und vor allem mit den tiefen Mietpreisen. Würden die Eigentümer marktübliche Mietzinse verlangen, wären Leerstände und höhere Einbussen die Folge. Die Lärmbelastung verunmögliche klarerweise eine ertragsoptimierte Vermietung und erhöhe andererseits den Aufwand für Vermietung und Unterhalt. Renovationskosten könnten insbesondere bei älteren Gebäuden kaum noch auf die Mieter überwälzt werden. Langfristige Anlagestrategien seien nicht mehr möglich. Da sich gut Verdienende nicht an lärmigen Orten niederliessen, ändere sich auch die Mieterschaft. Die fluglärmbelasteten Gebiete würden, wie die Nachbarschaften von Autobahnen und stark befahrener Hauptstrassen, zu Lärmghettos mit überwiegend ausländischer Bevölkerung.</w:t>
      </w:r>
    </w:p>
    <w:p>
      <w:r>
        <w:rPr>
          <w:b/>
        </w:rPr>
        <w:t>E. 5.2</w:t>
      </w:r>
    </w:p>
    <w:p>
      <w:r>
        <w:t>Die Enteigner stimmen den Überlegungen der Schätzungskommission im Ergebnis zu. Sie machen jedoch geltend, dass im vorliegenden Fall die Voraussehbarkeit der Spezialität der Immissionen nur vorübergehend erfüllt gewesen sei. Zwar seien bei der Liegenschaft der Beschwerdeführerin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 Zur Voraussetzung der Schwere des Schadens bringen die Enteigner vor,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Jedenfalls müssten die fluglärmbedingten Minderwerte von Ertragsliegenschaften durch entsprechende Ertragseinbussen nachgewiesen werden, was vorliegend nicht der Fall sei. Schliesslich weisen die Enteigner auf die durch den Flughafen bewirkten Wertsteigerungen sowie auf künftige Lärmabnahmen hin, die durch die technologische Entwicklung ermöglicht würden. Diesen Gegebenheiten müsste bei der Bemessung einer allfälligen Entschädigung durch Abzüge Rechnung getragen werden.</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Entschädigung für ein Gebäude zu leisten, das erst nach diesem Datum erstellt worden ist (vgl. BGE 110 Ib 43 E. 4 S. 50; 111 Ib 233 E. 2a; nicht publ. Entscheid E.22/1992 vom 24. Juni 1996 E. 3b, während in BGE 121 II 317 E. 6c/aa die Frage offen gelassen worden ist).</w:t>
      </w:r>
    </w:p>
    <w:p>
      <w:r>
        <w:t>Es ist unbestritten und belegt, dass das Grundstück Kat.-Nr. 3730 schon vor dem 1. Januar 1961 im Eigentum der Familie der Beschwerdeführerin stand und das heutige Mehrfamilienhaus ebenfalls vor diesem Zeitpunkt erstellt wurde. Die Beeinträchtigung der Gesamtliegenschaft durch Fluglärm darf daher als unvorhersehbar gelten und gibt, sofern auch die weiteren Voraussetzungen erfüllt sind, Anspruch auf Entschädigung.</w:t>
      </w:r>
    </w:p>
    <w:p>
      <w:r>
        <w:rPr>
          <w:b/>
        </w:rPr>
        <w:t>E. 7</w:t>
      </w:r>
    </w:p>
    <w:p>
      <w:r>
        <w:t>Nach Meinung der Enteigner ist bei der Beurteilung der Spezialität der Immissionen angesichts der Fluglärmvorbelastung der Gemeinde Opfikon-Glattbrugg für das ganze Gebiet enteignungsrechtlich vom Immissionsgrenzwert ES III auszugehen, also auch für jene Grundstücke, die nach kommunaler Planung der ES II zugewiesen sind. An sich ist nicht ausgeschlossen, bei der enteignungsrechtlichen Beurteilung der Lärmempfindlichkeit eines Gebietes andere Massstäbe anzulegen, als sie die kommunale Planungsbehörde angewendet hat. Einer Aufstufung steht hier jedoch gerade die enteignungsrechtliche Beurteilungsweise entgegen, die für die Abgeltung von Lärm sowohl die Spezialität der Immissionen als auch deren Unvorhersehbarkeit verlangt. Zwar sind diese Voraussetzungen grundsätzlich voneinander unabhängig zu beurteilen (vgl. BGE 110 Ib 340 E. 2 S. 346), doch dürfen die einzelnen Anforderungen nicht derart umschrieben werden, dass sie zueinander in Widerspruch treten. So darf zwar wie gesagt vorausgesetzt werden, dass der Nachbar eines Flughafens schon vor dem 1. Januar 1961 - als die Lärmbelastung noch nicht voraussehbar war - Eigentümer seines Grundstücks gewesen sei, damit überhaupt ein Entschädigungsanspruch entstehen kann. Dann aber können diesem Nachbarn die Immissionen, die im Wesentlichen erst nach dem 1. Januar 1961 eingetreten sind (vgl. im Einzelnen zum Betrieb der Piste 16/34: BGE 130 II 394 E. 12.3.1 S. 420), nicht im Rahmen der Beurteilung der Spezialität der Einwirkungen als Lärmvorbelastung angerechnet werden. Hat mit anderen Worten ein Grundeigentümer sein Grundstück seinerzeit an einem Ort erworben, an welchem nach damaligem Ortsgebrauch kein (übermässiger) Lärm bestand und auch nicht zu erwarten war, so kann ihm das öffentliche Unternehmen, das den Lärm selbst bewirkt, die nachträgliche Änderung des Ortsgebrauchs nicht zur Last legen. Bei der von den Enteignern geltend gemachten Lärmvorbelastung handelt es sich aus enteignungsrechtlicher Sicht vielmehr um Auswirkungen des Werkes selbst, die im Enteignungsfall bei der Entschädigungsbemessung ausser Acht zu lassen sind ( Art. 20 Abs. 3 des Bundesgesetzes über die Enteignung [EntG; SR 711] ). Dem Antrag der Enteigner um - enteignungsrechtliche - Höhereinstufung der der ES II zugewiesenen Grundstücke ist demnach nicht zu entsprechen.</w:t>
      </w:r>
    </w:p>
    <w:p>
      <w:r>
        <w:rPr>
          <w:b/>
        </w:rPr>
        <w:t>E. 8</w:t>
      </w:r>
    </w:p>
    <w:p>
      <w:r>
        <w:t>In Übernahme der Rechtsprechung zur materiellen Enteignung ist nach Auffassung der Enteigner nur dann von einem schweren Schaden auszugehen, wenn der Minderwert wegen Fluglärms einen Drittel des Verkehrswertes der betroffenen Liegenschaften übersteigt.</w:t>
      </w:r>
    </w:p>
    <w:p>
      <w:r>
        <w:t>Die von den Enteignern in diesem Zusammenhang zitierten Entscheide zur materiellen Enteignung (Urteil A.115/1983 vom 14. Dezember 1983, publ. in ZBl 85/1986 S. 366; Urteil des Verwaltungsgerichts des Kantons Zürich vom 21. Juni 2001 [VR2000.00001]) betreffen indes nicht Lärm- oder andere Immissionen, sondern die Umzonung bzw. Nichteinzonung von Grundstücken im Rahmen kommunaler Nutzungsplanung. Weiter ist in diesen Entscheiden nicht festgestellt worden, dass Werteinbussen von Grundstücken von bis zu einem Drittel entschädigungslos hinzunehmen seien, sondern dass Bauverbote oder Baueinschränkungen, die nicht mehr als einen Drittel der Grundstücksfläche beträfen, noch in den Rahmen von hinzunehmenden öffentlich-rechtlichen Eigentumsbeschränkungen fielen (vgl. auch BGE 93 I 338 E. 7 S. 342 ff. mit Hinweisen). Da auch eine bauverbotsbelastete Fläche noch einen Restwert aufweist, ist die Gesamtentwertung der Grundstücke in diesen Fällen geringer als ein Drittel. Im Übrigen ist insbesondere in BGE 116 Ib 11 eingehend erläutert worden, weshalb die Unterdrückung der nachbarlichen Abwehrrechte gegenüber übermässigen, von einem öffentlichen Werk ausgehenden Lärmimmissionen den Bestimmungen über die formelle Enteignung und den in der Rechtsprechung aufgestellten speziellen Regeln folgt, und kann hier auf jene Erwägungen verwiesen werden. Art. 16 EntG schreibt aber, gleich wie Art. 26 Abs. 2 BV , im Falle der formellen Enteignung volle Entschädigung vor. Die Voraussetzung des schweren Schadens darf deshalb keine allzu hohe Hürde bilden und lässt sich nur insoweit rechtfertigen, als der Grundsatz zum Tragen kommt, dass ein Entschädigungsanspruch nicht für jeden beliebigen hoheitlichen Eingriff und damit auch nicht für jede beliebige Beeinträchtigung durch den öffentlichen Verkehr entstehen kann.</w:t>
      </w:r>
    </w:p>
    <w:p>
      <w:r>
        <w:rPr>
          <w:b/>
        </w:rPr>
        <w:t>E. 9</w:t>
      </w:r>
    </w:p>
    <w:p>
      <w:r>
        <w:t>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S. 302; 110 Ib 340 E. 2 S. 347, 123 II 481 E. 7d S. 493, 130 II 394 E. 12.3 S. 419). Eine feste, allgemein gültige Grenzziehung ist in der Praxis ausgeschlossen worden. In BGE 101 Ib 405 und BGE 102 Ib 271 wurde immerhin anerkannt, dass auch eine Entwertung von 10 % einer Liegenschaft bereits einen schweren Schaden im enteignungsrechtlichen Sinn darstellen kann. Verschiedentlich sind denn auch in bundesgerichtlichen Verfahren, die Nationalstrassenlärm betrafen und durch Vergleich erledigt werden konnten, Minderwertsentschädigungen von klar weniger als einem Drittel des Verkehrswertes des (nicht lärmbelasteten) Grundstücks zugestanden worden. Es ist nicht ersichtlich, weshalb bei Fluglärm, der sich zumindest ebenso einschneidend auswirkt wie der Strassenlärm, die Schwere des Schadens strenger umschrieben werden sollte. Auch die in den letzten Jahrzehnten eingetretene starke Erhöhung der Immobilienpreise spricht nicht für eine Anhebung der (in Prozenten ausgedrückten) Schwelle des schweren Schadens.</w:t>
      </w:r>
    </w:p>
    <w:p>
      <w:r>
        <w:t>Die Schätzungskommission hat im angefochtenen Entscheid ausgeführt, die Schwere des immissionsbedingten Schadens sei in jedem Einzelfall unter Berücksichtigung der konkreten Umstände in Prozenten des Verkehrswerts zu schätzen, den die betreffende Liegenschaft ohne die übermässigen Einwirkungen aufweisen würde. In der herkömmlichen Schätzungspraxis gelte aber seit jeher für Verkehrswertschätzungen ein Ermessensspielraum von plus/minus 10 %. Es würde daher als widersprüchlich und inkonsequent erscheinen, einen Schaden als schwer zu qualifizieren, der 10 % des geschätzten Verkehrswerts nicht erreicht. Das Erfordernis der Schwere des Schadens sei somit nur dann als erfüllt zu betrachten, wenn der Minderwert infolge Fluglärms 10 % des Verkehrswerts deutlich übersteige.</w:t>
      </w:r>
    </w:p>
    <w:p>
      <w:r>
        <w:t>Der Schätzungskommission ist darin zuzustimmen, dass der lärmbedingte Minderwert - der Einfachheit und der Praktikabilität halber - üblicherweise in Prozenten des Verkehrswerts des lärmunbelasteten Grundstücks angegeben wird. Es darf jedoch nicht vergessen werden, dass die Entschädigung nach den Regeln über die Teilenteignung zu bemessen ist. Der Grundeigentümer hat Anspruch auf Ersatz des Minderwertes, den sein Grundstück durch die dingliche Belastung erleidet, d.h. auf die Vergütung der Wertdifferenz, die sich zwischen dem Verkehrswert des unbelasteten Grundstücks und jenem des belasteten Grundstücks ergibt (vgl. Art. 19 lit. b EntG ; BGE 106 Ib 241 E. 3 S. 245; 122 II 337 E. 4c S. 343, mit Hinweisen). Der Minderwert bzw. die Entschädigung wäre somit richtigerweise nicht als prozentualer Anteil des Verkehrswertes des unbelasteten Grundstücks (oder des belasteten Grundstücks) zu bestimmen, sondern als Differenzbetrag zu ermitteln, der sich bei Gegenüberstellung der Verkehrswerte vor und nach der Lärmbelastung ergibt. Wird der Minderwert als Differenzbetrag verstanden und festgelegt, kommt dem Schätzungsermessen bei der Bestimmung des Verkehrswertes einer Liegenschaft nur wenig Bedeutung zu, wird doch eine höhere (oder tiefere) Schätzung des Verkehrswertes vor der Lärmbelastung auch eine höhere (oder tiefere) Schätzung des Verkehrswertes nach der Lärmbelastung nach sich ziehen. Die Differenz bleibt sich somit gleich. Das Vorliegen eines schweren Schadens kann daher bei einem Minderwert von 10 % nicht allein mit dem Hinweis auf das Schätzungsermessen verneint werden.</w:t>
      </w:r>
    </w:p>
    <w:p>
      <w:r>
        <w:rPr>
          <w:b/>
        </w:rPr>
        <w:t>E. 10</w:t>
      </w:r>
    </w:p>
    <w:p>
      <w:r>
        <w:t>Die Enteigner verlangen, dass bei der Bestimmung der Minderwertsentschädigung die Vorteile, die der Flughafen Zürich für die in seinem Einflussbereich liegenden Nachbargrundstücke mit sich gebracht habe, angerechnet würden. Der Flughafen habe durch seinen Betrieb und die dadurch bewirkte Wertschöpfung nicht nur das Entwicklungspotenzial der Stadt Opfikon-Glattbrugg gefördert, sondern auch eine allgemeine Wertsteigerung der Liegenschaften herbeigeführt. Dieser werkbedingte Vorteil, der am Stichtag 20 % des Wertes der Liegenschaften ausgemacht habe, sei mindestens so anzurechnen, dass vom heranzuziehenden Verkehrswert 20 % abgezogen und für die Minderwertbestimmung von 80 % des Verkehrswertes der Liegenschaften ohne Fluglärm ausgegangen werde.</w:t>
      </w:r>
    </w:p>
    <w:p>
      <w:r>
        <w:t>Gemäss Art. 20 Abs. 3 EntG haben die durch das Unternehmen des Enteigners entstehenden Werterhöhungen oder Wertverminderungen bei der Ermittlung des Verkehrswertes ausser Betracht zu fallen. Die Verkehrswertbestimmung hat so zu erfolgen, wie wenn es das Werk des Enteigners nicht gäbe. Dieser Grundsatz findet vorab bei Totalenteignungen sowie bei Teilenteignungen Anwendung, bei denen ein Teil der Grundstücksfläche abzutreten ist (räumliche Teilenteignung) und der abzutretende Teil nach den gleichen Regeln entschädigt wird wie eine ganze Parzelle (zu den Arten von Teilenteignung vgl. BGE 103 Ib 91 E. 3 S. 97). Bei Teilenteignungen infolge übermässiger Lärmimmissionen wie der hier vorliegenden hat indes wie gesagt (E. 9) die Minderwertsentschädigung dem Differenzbetrag zu entsprechen, der sich bei Gegenüberstellung der Verkehrswerte vor und nach der Lärmbelastung ergibt. Allfällige werkbedingte Vorteile verbleiben dem Grundstück aber auch nach der Lärmbelastung. Da die (nicht mit der Enteignung in Zusammenhang stehenden) werterhöhenden oder wertvermindernden Auswirkungen des Werks bei der Schadensermittlung völlig wegzudenken sind, wären somit bei der Gegenüberstellung der Verkehrswerte vor und nach der Immissionsbelastung die werkbedingten Vorteile von beiden Werten abzuziehen. Auf solche - beiderseitige - Abzüge kann verzichtet werden. Insofern ist die Bemerkung in BGE 130 II 394 E. 12.3.3 S. 423 über die Vorteilsanrechnung zu relativieren.</w:t>
      </w:r>
    </w:p>
    <w:p>
      <w:r>
        <w:t>Gegen diese Überlegungen kann auch nicht eingewendet werden, dass die dem Grundeigentümer verbleibenden werkbedingten Vorteile nach Art. 22 Abs. 1 EntG angerechnet bzw. von der Entschädigung abgezogen werden müssten. Diese Bestimmung schreibt bei Teilenteignung nur die Anrechnung von "besonderen Vorteilen" ("avantages particuliers", "speciali vantaggi") vor, die dem "verbleibenden Teil" durch das Unternehmen erwachsen. Als Sondervorteil in diesem Sinne fällt nur jener Nutzen in Betracht, der (allein) dem teilenteigneten Grundstück entsteht, nicht dagegen ein allgemeiner Vorteil, der - wie bei einer generellen Wertsteigerung des Bodens - der ganzen Nachbarschaft und damit auch den Nichtenteigneten zugute kommt (Heinz Hess/Heinrich Weibel, Das Enteignungsrecht des Bundes, Bd. I N. 4 zu Art. 22; Werner Dubach, Die Berücksichtigung der besseren Verwendungsmöglichkeit und der werkbedingten Vor- und Nachteile bei der Festsetzung der Enteignungsentschädigung nach Bundesrecht, ZBl 79/1978 S. 6; s.a. BGE 131 II 458 E. 3.3 S. 462 f. und E. 6 S. 468 f.).</w:t>
      </w:r>
    </w:p>
    <w:p>
      <w:r>
        <w:rPr>
          <w:b/>
        </w:rPr>
        <w:t>E. 11</w:t>
      </w:r>
    </w:p>
    <w:p>
      <w:r>
        <w:t>Weiter bringen die Enteigner vor, dass sich die Höhe der Enteignungsentschädigung unter anderem nach dem Mass der Lärmbelästigung bestimme und in diesem Zusammenhang die bereits eingetretene sowie die künftige Lärmentlastung, die dank der technologischen Entwicklung möglich sei, berücksichtigt werden müsse. Die Fluglärmbelastung habe in der Umgebung des Flughafens Zürich seit 1987 stetig und nachweislich abgenommen. In der Gegend der Pilotliegenschaften sei der Lärmpegel während der Tagesstunden seit dem Stichtag, dem 1. Januar 1997, dank leiseren Flugzeugen um rund 5 dB(A) gesunken. Bis zum Jahr 2020 könnten gemäss einem Bericht des Advisory Council for Aeronautics Research in Europe (Strategic Research Agenda, Volume 2 vom Oktober 2002) aufgrund weiterer Fortschritte im Flugzeugbau zusätzliche Reduktionen von 10 dB(A) erwartet werden. Dieser künftigen Lärmentlastung sei zwingend mit einem standardisierten Abzug von 20 % der Minderwertsentschädigung Rechnung zu tragen. Die Ausführungen der Schätzungskommission, wonach die Lärmbelastung erfahrungsgemäss eher zu- als abnehme, die künftige technologische Entwicklung ungewiss sei und auch nicht dem Flughafenhalter zugute kommen dürfte, gingen an den Tatsachen und an der Rechtslage vorbei.</w:t>
      </w:r>
    </w:p>
    <w:p>
      <w:r>
        <w:t>Die Beschwerdeführerin anerkennt, dass der Dauerschallpegel des Fluglärms während der Tagesstunden seit 2001 zurückgegangen ist. Dieser Rückgang sei allerdings nur temporär, bleibe doch die Piste 16 gemäss dem "Vorläufigen Betriebsreglement" eine der Hauptstart-Pisten. Zudem könne keineswegs davon ausgegangen werden, dass dank Verbesserungen der Triebwerkstechnologien in der überblickbaren Zukunft weitere Lärmreduktionen einträten. Vielmehr führe die Optimierung der Flugzeuge auf möglichst wenig Treibstoffverbrauch sogar zu höherem Lärm. Hinzu komme, dass seit der Einführung der sog. Südanflüge im Oktober 2003 die Einwohner von Opfikon-Glattbrugg nicht nur während des Tages sondern auch in den Tagesrand- und Nachtstunden Lärmeinwirkungen ausgesetzt seien.</w:t>
      </w:r>
    </w:p>
    <w:p>
      <w:r>
        <w:rPr>
          <w:b/>
        </w:rPr>
        <w:t>E. 11.1</w:t>
      </w:r>
    </w:p>
    <w:p>
      <w:r>
        <w:t>Nach Art. 19bis Abs. 1 EntG ist für die Frage, welche rechtliche und welche tatsächliche Situation der Bewertung des enteigneten Grundstücks zugrunde zu legen sei, auf das Datum der Einigungsverhandlung abzustellen. Diese Regelung ist indessen, wie im angefochtenen Entscheid zu Recht festgestellt wird,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 BGE 121 II 350 E. 6c/d S. 356).</w:t>
      </w:r>
    </w:p>
    <w:p>
      <w:r>
        <w:t>Die Schätzungskommission hat in Anwendung dieser Rechtsprechung den dies aestimandi auf den 1. Januar 1997 festgesetzt. Die Enteigner erklären sich mit dieser Festlegung ausdrücklich einverstanden, fordern aber wie gesagt gleichzeitig, dass bei der Schadensbemessung die inzwischen eingetretene und insbesondere die ihrer Meinung nach voraussehbare künftige Lärmsituation berücksichtigt werde. Damit verlangen sie jedoch im Grunde genommen - etwas widersprüchlich - eine Verschiebung des Schätzungszeitpunktes.</w:t>
      </w:r>
    </w:p>
    <w:p>
      <w:r>
        <w:rPr>
          <w:b/>
        </w:rPr>
        <w:t>E. 11.2</w:t>
      </w:r>
    </w:p>
    <w:p>
      <w:r>
        <w:t>Das Bundesgericht hat sich in seiner Entschädigungspraxis mit der Frage möglicher künftiger Zu- oder Abnahme von übermässigen Immissionen noch kaum befassen müssen. In der Regel ist davon ausgegangen worden, dass bei der Ermittlung des massgebenden Lärmpegels und der entsprechenden Entschädigungsbemessung auf den am Stichtag herrschenden Lärm abzustellen sei und sich dieser in absehbarer Zeit nicht wesentlich ändern werde. In BGE 110 Ib 340 ist allerdings erwogen worden, bei der Lärmermittlung statt auf den tatsächlichen Verkehr auf den "Normverkehr" abzustellen, der sich nach der Leistungsfähigkeit einer (National-)Strasse richtet. Sei vorauszusehen, dass die Verkehrsbelastung einer bestehenden Strasse stark ansteigen werde, empfehle es sich im Enteignungsverfahren,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(E. 5 S. 351 f.).</w:t>
      </w:r>
    </w:p>
    <w:p>
      <w:r>
        <w:t>Demgegenüber besteht keine bundesgerichtliche Rechtsprechung zur möglichen oder voraussehbaren Abnahme von Immissionen aus dem Betrieb eines Unternehmens in einem zukünftigen, unbestimmten Zeitpunkt (in BGE 123 II 560 war diese Frage nicht zu prüfen). Zu beurteilen waren bisher lediglich Entschädigungen für zeitlich begrenzte Beeinträchtigungen während der Bauzeit (vgl. BGE 113 Ia 353 ; 117 Ib 15 ; 132 II 428 ). Im Übrigen ist dem Bundesgericht nicht bekannt, dass in einem der Fälle, in denen Entschädigungen für Nationalstrassenlärm zugesprochen wurden und später in Anwendung der Umweltschutzgesetzgebung Lärmschutzwände erstellt worden sind, die Entschädigung vom Enteigner ganz oder teilweise zurückgefordert worden wäre.</w:t>
      </w:r>
    </w:p>
    <w:p>
      <w:r>
        <w:rPr>
          <w:b/>
        </w:rPr>
        <w:t>E. 11.3</w:t>
      </w:r>
    </w:p>
    <w:p>
      <w:r>
        <w:t>Als einer der enteignungsrechtlichen Grundsätze darf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So dürfen Inkonvenienzentschädigungen nur für Nachteile zugesprochen werden, die sich nach dem gewöhnlichen Lauf der Dinge als Folge der Enteignung voraussehen lassen ( Art. 19 lit. c EntG ). Weiter darf die Möglichkeit einer besseren Verwendung ( Art. 20 Abs. 1 EntG ) nur berücksichtigt werden, wenn sie in rechtlicher und tatsächlicher Hinsicht am Stichtag bereits bestanden hat oder, ohne die Enteignung, in nächster Zukunft eingetreten wäre; bloss theoretische Möglichkeiten oder vage Aussichten auf eine künftige günstigere Verwendung genügen nicht (vgl. etwa BGE 112 Ib 531 E. 3 S. 533; 113 Ib 39 E. 3 S. 43 ; 129 470 E. 6.1 S. 477 f.). Demnach sind nach dem Stichtag eintretende Änderungen der tatsächlichen Situation, die sich werterhöhend oder -vermindernd auswirken können, bei der Entschädigungsbemessung nur insoweit zu berücksichtigen, als sie sich im Schätzungszeitpunkt im Verkehrswert des von der Enteignung betroffenen Objektes schon niedergeschlagen haben oder mit hinreichender Sicherheit in nächster Zukunft niederschlagen werden.</w:t>
      </w:r>
    </w:p>
    <w:p>
      <w:r>
        <w:rPr>
          <w:b/>
        </w:rPr>
        <w:t>E. 11.4</w:t>
      </w:r>
    </w:p>
    <w:p>
      <w:r>
        <w:t>Es ist unbestritten, dass die Zahl der Abflüge seit dem Jahr 2000 - teils wegen des Rückgangs des Flugverkehrs, teils infolge der Verlegung von Starts auf die Piste 28 - abgenommen hat. Die Beschwerdeführerin macht wie gesagt geltend, dieser Rückgang sei nur vorübergehend, befinde sich doch der Flugverkehr erneut in vollem Wachstum und bleibe die Piste 16 gemäss dem "Vorläufigen Betriebsreglement" eine der Haupt-Startpisten. Die Enteigner widersprechen dem nicht und haben in ihren Eingaben an die Schätzungskommission auch eingeräumt, dass das Verkehrsaufkommen möglicherweise wieder zunehmen könnte. Sie begründen ihr Begehren um den Abzug für künftige Lärmentlastung vielmehr mit dem technologischen Fortschritt im Flugzeugbau, der bis zum Jahr 2020 nochmals zu einer deutlichen Reduktion des Flugzeuglärms führen werde. Diese Prognose bezieht sich somit nicht auf die nächste Zukunft, sondern auf einen Zeithorizont von mehr als 20 Jahren ab dem dies aestimandi. Die prognostizierte Lärmentlastung von 10 dB(A) wird zudem in dem von den Enteignern erwähnten Bericht als blosse Zielvorstellung angegeben. In der Fachliteratur wird zwar bestätigt, dass die Entwicklung neuer Triebwerke im Gange und die Reduktion des Fluglärms theoretisch möglich sei. Praktisch lägen aber wesentliche Änderungen in weiter Ferne. Die Flugzeugindustrie werde möglichst lange an den Triebwerken der heutigen Generation festhalten, die erprobt seien und für welche eine ausgebaute Logistik bestehe. Ein Wechsel werde erst stattfinden, wenn wirtschaftliche Vorteile dafür sprächen oder schärfere Umweltbestimmungen ihn erzwängen. Zudem könnten die Fortschritte der Neuentwicklungen nicht mehr so gross sein wie jene, die seinerzeit bei der Einführung der Mantelstromtriebwerke erzielt worden seien (Robert Hofmann, Lärm und Lärmbekämpfung in der Schweiz, 5. Aufl. 2003 S. 14-5). Auch der Bundesrat geht in seinem Bericht über die Luftfahrtpolitik der Schweiz 2004 davon aus, dass langfristig wieder mit einem Wachstum im Luftverkehr zu rechnen sei und dass der technologische Fortschritt nur bei einem geringen Luftverkehrswachstum ausreichen werde, um die mit dem Wachstum verbundene Mehrbelastung an Lärm- und Schadstoffemissionen zu kompensieren (Bericht vom 10. Dezember 2004, BBl 2005 S. 1781 ff., Ziff. 3.1.4.1 S. 1815). Somit ist festzuhalten, dass die von den Enteignern angerufene technologische Entwicklung im Flugzeugbau keine Tatsache darstellt, die - vom Zeitpunkt des dies aestimandi aus gesehen - in nächster Zukunft mit hinreichender Sicherheit zu einer wesentlichen Lärmentlastung führen wird und daher bei der Entschädigungsbemessung zu beachten wäre. Dem Begehren um Vornahme eines entsprechenden standardisierten Abzugs von 20 % der Minderwertsentschädigung kann nicht entsprochen werden.</w:t>
      </w:r>
    </w:p>
    <w:p>
      <w:r>
        <w:rPr>
          <w:b/>
        </w:rPr>
        <w:t>E. 12</w:t>
      </w:r>
    </w:p>
    <w:p>
      <w:r>
        <w:t>Wie dargelegt (E. 9) hat der Grundeigentümer Anspruch auf Ersatz des Minderwertes, den sein Grundstück durch die Lärmbelastung erleidet, d.h. auf die Vergütung der Wertdifferenz, die sich zwischen dem Verkehrswert des unbelasteten und jenem des belasteten Grundstücks ergibt. Die Bestimmung des Verkehrswertes richtet sich für vermietete Mehrfamilienhäuser wie das hier umstrittene grundsätzlich nach den für die Bewertung von Ertragsliegenschaften geltenden Regeln. In Betracht fallen somit die - allenfalls mit einer Realwertermittlung kombinierte - Ertragswertmethode (Kapitalisierung der Netto- oder Bruttomieterträge) sowie die neuere Discounted Cash Flow Methode (DCF), bei der die mutmasslichen künftigen Einnahme- und Ausgabenströme für einen Zeitraum von fünf bis zehn Jahren festzulegen und auf den Bewertungsstichtag abzuzinsen sind (vgl. dazu etwa: Das Schweizerische Schätzerhandbuch, Bewertung von Immobilien, Ausgabe 2005, Hrsg. Schweiz. Vereinigung kantonaler Grundstücksbewertungsexperten SVK und Schweiz. Schätzungsexpertenkammer/Schweiz. Verband der Immobilien-Treuhänder SEK/SVIT, S. 49, 81; Kaspar Fierz, Der Schweizer Immobilienwert, 5. Aufl. 2005, S. 150 ff.). Die Ermittlung des Minderwertes der lärmbelasteten Miethäuser dürfte aber unabhängig von der angewendeten Methode nicht leicht fallen:</w:t>
      </w:r>
    </w:p>
    <w:p>
      <w:r>
        <w:t>Während sich bei Einfamilienhäusern und Stockwerkeigentum der Verkehrswert nach dem Interesse der Käufer und den möglichen Marktpreisen bestimmt, die relativ rasch auf äussere Einflüsse wie Lärmbelastungen reagieren, wird sich nach der Lebenserfahrung bei Mietobjekten, die Wohnzwecken dienen, die Ertragslage bei Mehrlärm nur langsam verschlechtern. Die meisten Mieter scheuen die Mühen und Kosten eines Umzugs. Alteingesessene Mieter werden ihre Wohnungen nicht leicht aufgeben, sondern eher geneigt sein, den Mehrlärm zu erdulden. Mieterwechsel und Leerstände werden sich daher erst allmählich, im Laufe mehrerer Jahre, häufen. Die abgeschlossenen Mietverträge enden denn auch nicht beim Auftreten übermässigen Lärms. Mietzinsreduktionen infolge Immissionsbeeinträchtigungen sind gestützt auf Art. 259a Abs. 1 lit. b bzw. Art. 259d OR in der Praxis nur schwer durchsetzbar. Die Mietzinse werden daher häufig noch einige Jahre gleichgehalten oder - insbesondere nach grösseren Renovationen - in Einzelfällen sogar noch erhöht werden können. Dies ändert jedoch nichts daran, dass Wohnliegenschaften, die übermässigem Fluglärm ausgesetzt werden, eine wertmässige Einbusse erleiden und sich die schleichende Entwertung über kurz oder lang darin zeigen wird, dass für die lärmbelasteten Wohnungen nicht (mehr) dieselben Mietzinse erzielt werden können wie für vergleichbare Objekte in ruhiger Lage. Der Ertragsverlust kann sich auch darin äussern, dass überdurchschnittliche Investitionen getätigt werden müssen, um die Lärmbelastung durch höheren Komfort und Standard auszugleichen.</w:t>
      </w:r>
    </w:p>
    <w:p>
      <w:r>
        <w:t>Es kann demnach im Entschädigungsverfahren - selbst wenn dieses etwas länger dauert - vom Eigentümer nicht verlangt werden, dass er den nach der übermässigen Lärmbelastung eingetretenen Wertverlust seiner Liegenschaft konkret belege. Ebenso wenig kann es bei einer Vielzahl von Verfahren Aufgabe der Schätzungskommission sein, in jedem Einzelfall aufgrund der vorgelegten, häufig dürftigen Unterlagen abzuklären, ob und in welcher Höhe eine Ertragseinbusse eingetreten sei oder noch eintreten werde. Dabei müsste auch der Frage nachgegangen werden, ob trotz gleich bleibender Einnahmen ein Ausfall entstehe, weil die Mietzinse nicht oder nicht mehr dem sonstigen Markt gemäss erhöht werden könnten. Zudem wäre zu prüfen, ob sich die Aufwendungen für Unterhalt und Renovation im Rahmen des Üblichen hielten und künftig nicht vergrössert werden müssten. Angesichts all dieser Schwierigkeiten hat für Ertragsliegenschaften, die Wohnzwecken dienen und sich nicht für eine andere, weniger lärmempfindlichere Nutzung eignen, eine schematische Beurteilung des fluglärmbedingten Schadens zu erfolgen, die nicht nur im Sinne der Praktikabilität, sondern auch der Gleichbehandlung liegt.</w:t>
      </w:r>
    </w:p>
    <w:p>
      <w:r>
        <w:rPr>
          <w:b/>
        </w:rPr>
        <w:t>E. 13</w:t>
      </w:r>
    </w:p>
    <w:p>
      <w:r>
        <w:t>Es ist nicht Sache des Bundesgerichts als Beschwerdeinstanz, einen Raster bzw. die geeigneten Kriterien zur schematischen Beurteilung der immissionsbedingten Entwertung von Mehrfamilienhäusern aufzustellen. Vielmehr ist die vorliegende Streitigkeit zur Neubeurteilung an die Eidgenössische Schätzungskommission zurückzuweisen, die über Fachrichter verfügt und der die örtlichen Verhältnisse vertraut sind. Immerhin mögen hier einige Anhaltspunkte für die vorzunehmenden schematischen Minderwertsermittlungen genannt werden:</w:t>
      </w:r>
    </w:p>
    <w:p>
      <w:r>
        <w:rPr>
          <w:b/>
        </w:rPr>
        <w:t>E. 13.1</w:t>
      </w:r>
    </w:p>
    <w:p>
      <w:r>
        <w:t>Die Flughafenhalterin hat durch Experten ein auf ökonometrischen Grundlagen beruhendes sog. hedonisches Modell (MIFLU "Minderwert Fluglärm") ausarbeiten lassen, anhand dessen sich der Wert der verschiedenen Merkmale von Immobilien - so insbesondere auch die Ruhe oder das Fehlen der Ruhe im Quartier - ermitteln lässt. Das Bundesgericht hat im Leitentscheid 1E.15/2007 und 1E.16/2007 vom 8. Februar 2008 die Anwendbarkeit dieser Methode zur Bestimmung des fluglärmbedingten Minderwertes von selbst genutztem Wohneigentum (Einfamilienhäuser und Stockwerkeigentum) anerkannt. Nun ist das MIFLU-Modell zwar zur Ermittlung des lärmbedingten Wertverlustes vermieteter Mehrfamilienhäuser nicht einsetzbar. Ergibt sich jedoch anhand des Modells, dass das selbstgenutzte Wohneigentum in einem bestimmten Quartier fluglärmbedingt einen schweren Schaden im Sinne der Rechtsprechung erleidet, so liegt der Schluss nahe, dass auch die Mehrfamilienhäuser, die gleich oder sogar noch stärker fluglärmbelastet sind, in ähnlicher Weise beeinträchtigt werden. Die Lärmsituation in den betroffenen Quartieren kann aufgrund der von der EMPA Dübendorf mittels FLULA2 (Fluglärmsimulationsprogramm) erstellten Belastungskarten hektargenau festgestellt werden.</w:t>
      </w:r>
    </w:p>
    <w:p>
      <w:r>
        <w:rPr>
          <w:b/>
        </w:rPr>
        <w:t>E. 13.2</w:t>
      </w:r>
    </w:p>
    <w:p>
      <w:r>
        <w:t>Der Umstand, dass sich Mietertragsverluste häufig erst allmählich einstellen (vgl. E. 12), kann etwa dadurch berücksichtigt werden, dass eine zu leistende Entschädigung nicht schon ab dem Schätzungsstichtag zu verzinsen ist. Dem Eigentümer muss jedoch Gelegenheit gegeben werden, eine sofortige Ertragseinbusse nachzuweisen.</w:t>
      </w:r>
    </w:p>
    <w:p>
      <w:r>
        <w:rPr>
          <w:b/>
        </w:rPr>
        <w:t>E. 13.3</w:t>
      </w:r>
    </w:p>
    <w:p>
      <w:r>
        <w:t>Die schematische Bewertung soll im Übrigen nicht ausschliessen, dass den örtlichen Gegebenheiten oder besonderen Merkmalen der Mehrfamilienhäuser Rechnung getragen wird. Wird ein Mietobjekt auch vom Strassenlärm betroffen oder ist sein Unterhalt vernachlässigt, so wird der Einfluss des Fluglärms auf den Mietwert wesentlich geringer sein als bei gut gepflegten Wohnhäusern in (vom Fluglärm abgesehen) ruhiger Lage. In diesem Zusammenhang kann der Einsatz einer Bewertungstabelle, die feinere Unterscheidungen trifft als der von der Schätzungskommission in anderen Fällen verwendete Lageklassenschlüssel, von Nutzen sein.</w:t>
      </w:r>
    </w:p>
    <w:p>
      <w:r>
        <w:rPr>
          <w:b/>
        </w:rPr>
        <w:t>E. 14</w:t>
      </w:r>
    </w:p>
    <w:p>
      <w:r>
        <w:t>Ist der angefochtene Entscheid demnach in Gutheissung der Verwaltungsgerichtsbeschwerde aufzuheben und das vorinstanzliche Verfahren wieder aufzunehmen, erübrigt es sich, über den Antrag auf Erhöhung der Parteientschädigung für das Verfahren vor der Schätzungskommission zu befinden.</w:t>
      </w:r>
    </w:p>
    <w:p>
      <w:r>
        <w:t>Die Kosten des bundesgerichtlichen Verfahrens sind der Regel von Art. 116 Abs. 1 EntG entsprechend den Enteignern aufzuerlegen. Diese sind zudem zu verpflichten, der Beschwerdeführerin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