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1E.8/2007 vom 28. April 2008</w:t>
      </w:r>
    </w:p>
    <w:p>
      <w:r>
        <w:t>Bundesgericht, 2008-04-28, DE</w:t>
      </w:r>
    </w:p>
    <w:p>
      <w:r>
        <w:rPr>
          <w:b/>
        </w:rPr>
        <w:t xml:space="preserve">Quelle: </w:t>
      </w:r>
      <w:r>
        <w:t>https://mcp.opencaselaw.ch/entscheid/bger_1E.8_2007</w:t>
      </w:r>
    </w:p>
    <w:p>
      <w:r>
        <w:t>FR: TF 1E.8/2007 du 28 avril 2008</w:t>
      </w:r>
    </w:p>
    <w:p>
      <w:r>
        <w:t>IT: TF 1E.8/2007 del 28 aprile 2008</w:t>
      </w:r>
    </w:p>
    <w:p>
      <w:pPr>
        <w:pStyle w:val="Heading2"/>
      </w:pPr>
      <w:r>
        <w:t>Erwägungen</w:t>
      </w:r>
    </w:p>
    <w:p>
      <w:r>
        <w:rPr>
          <w:b/>
        </w:rPr>
        <w:t>E. 1</w:t>
      </w:r>
    </w:p>
    <w:p>
      <w:r>
        <w:t>Die angefochtenen Entscheide der Eidgenössischen Schätzungskommission, Kreis 10, sind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 durch direkte Überflüge betroffen werde und sich schon aus dieser Eigentumsverletzung ein Entschädigungsanspruch ergebe. Die Schätzungskommission hat einen solchen Anspruch verneint, da - wie das Bundesgericht in BGE 131 II 137 E. 3.2 S. 149 dargelegt habe - die Abflüge nicht zu den gleichen Einwirkungen wie die Landeanflüge führten. Im Weiteren werde bei der hier fraglichen Liegenschaft die kritische Höhe für einen eigentlichen Überflug klar überschritten.</w:t>
      </w:r>
    </w:p>
    <w:p>
      <w:r>
        <w:t>Die Enteigner stimmen den Ausführungen der Schätzungskommission zu und bezeichnen die Entschädigungsforderung für Überflug zudem als verjährt. Die Beschwerdeführer bringen vor, eine Entschädigung sei schon dann geschuldet, wenn ein Grundstück nur selten oder sogar bloss einmal überflogen werde, wobei auch nahe seitliche Vorbeiflüge mit in Betracht zu ziehen seien. Sie bestreiten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 wonach die Häufigkeit der Ausübung einer Dienstbarkeitsberechtigung für die Entschädigungspflicht zivilrechtlich nicht massgeblich sei und eine solche auch hier schon bei einem einzigen Durchflug entstehe, ist ebenfalls nicht zu folgen.</w:t>
      </w:r>
    </w:p>
    <w:p>
      <w:r>
        <w:t>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 auf die zivilrechtlichen Prinzipien über die Ausübung und Abgeltung von Dienstbarkeiten geht demnach an der Sache vorbei.</w:t>
      </w:r>
    </w:p>
    <w:p>
      <w:r>
        <w:rPr>
          <w:b/>
        </w:rPr>
        <w:t>E. 4.3</w:t>
      </w:r>
    </w:p>
    <w:p>
      <w:r>
        <w:t>Die Beschwerdeführer vertreten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Parteien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den Beschwerdeführern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 bestreiten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 liegt, um etwa 600 m von der Pistenachse verschoben, rund 2,5 km vom Ende der Piste 16 entfernt. In diesem Bereich sind die Abflüge der nach Osten abdrehenden Flugzeuge gemäss den Aufzeichnungen der Flugspuren bereits breit gestreut. Das Grundstück der Beschwerdeführer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die Beschwerdeführer geltend machen,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den Beschwerdeführern ein Entschädigungsanspruch für die Unterdrückung ihrer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nur zwei der drei Voraussetzungen für erfüllt. Im angefochtenen Entscheid wird ausgeführt, die fragliche Liegenschaft stehe seit den achtziger Jahren infolge Erbgangs im Eigentum der heutigen Beschwerdeführer. Das Grundstück sei deren Vater im Quartierplanverfahren "Geracher" zugewiesen worden. Der Vater der Beschwerdeführer habe das in das Quartierplanverfahren eingeworfene Land seinerseits durch Erbgang im Jahre 1945 erworben. Damit sei die Voraussetzung der Unvorhersehbarkeit der Immissionen bezüglich der Baulandparzelle erfüllt. Dagegen sei der Bau des Mehrfamilienhauses erst im Jahre 1971 erfolgt und müsse dieses bei der Beurteilung des Minderwertes unbeachtet bleiben. Da die Immissionsgrenzwerte im fraglichen Gebiet, das der Empfindlichkeitsstufe II (ES II) zugewiesen sei, überschritten würden, sei auch die Voraussetzung der Spezialität der Einwirkungen gegeben. Was den fluglärmbedingten Minderwert anbelange, könne dieser anhand der Veränderung der Lageklasse dargestellt werden. Die Lageklasse des fraglichen Grundstücks sinke infolge des Fluglärms von 5.5 auf 4.7 Punkte, d.h. um 15 %. Da diese Wertveränderung auf dem Landwert stattfinde und dieser rund einen Drittel des Verkehrswertes der Gesamtliegenschaft ausmache, falle deren Wertverminderung infolge übermässigen Fluglärms jedoch klar unter 10 %. Es fehle daher an der Voraussetzung der Schwere des Schadens. Die Entschädigungsforderung der Beschwerdeführer sei demnach abzuweisen.</w:t>
      </w:r>
    </w:p>
    <w:p>
      <w:r>
        <w:t>Die Beschwerdeführer räumen ein, dass ihnen kein Entschädigungsanspruch für ihr Mehrfamilienhaus zustehe. Dies ändere jedoch nichts daran, dass ein schwerer Schaden vorliege. Durch den Fluglärm erlitten sowohl das Land wie auch das Gebäude eine Werteinbusse. Der Minderwert des Gebäudes sei nach bundesgerichtlicher Rechtsprechung über die Vorhersehbarkeit der Immissionen nicht abzugelten. Würden aber Gebäude und Land hinsichtlich des Kriteriums der Vorhersehbarkeit getrennt behandelt, müsse auch bezüglich des Kriteriums der Schwere des Schadens so vorgegangen werden. Demnach sei zumindest der Minderwert des Landes von 15 % zu entschädigen.</w:t>
      </w:r>
    </w:p>
    <w:p>
      <w:r>
        <w:t>Die Enteigner machen geltend, dass im vorliegenden Fall die Voraussetzung der Spezialität der Immissionen nur vorübergehend erfüllt gewesen sei. Zwar seien bei der Liegenschaft der Beschwerdeführer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Weiteren verbiete sich bei einem erst nach dem 1. Januar 1961 zwecks kommerzieller Nutzung überbauten Grundstücks eine isolierte Betrachtung des blossen Landes, weil der Eigentümer im vollen Wissen um die vom Flughafen herrührenden Immissionen die Nutzungsmöglichkeiten von Grund und Boden realisiert habe. Die Abgeltung eines Minderwertes für das Land komme auch deshalb nicht in Frage, weil der Boden bei überbauten Grundstücken nicht unabhängig von der Gesamtliegenschaft bewertet werden dürfe, als ob er noch selbständig handelbar wäre.</w:t>
      </w:r>
    </w:p>
    <w:p>
      <w:r>
        <w:t>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Jedenfalls müssten die fluglärmbedingten Minderwerte von Ertragsliegenschaften durch entsprechende Ertragseinbussen nachgewiesen werden, was vorliegend nicht der Fall sei. Schliesslich weisen die Enteigner auf die durch den Flughafen bewirkten Wertsteigerungen sowie auf künftige Lärmabnahmen hin, die durch die technologische Entwicklung ermöglicht würden. Diesen Gegebenheiten müsse bei der Entschädigungsbemessung durch Abzüge Rechnung getragen werden.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S. 234 f.; nicht publ. Entscheid E.22/1992 vom 24. Juni 1996 E. 3b, während in BGE 121 II 317 E. 6c/aa S. 337 f. die Frage offen gelassen worden ist).</w:t>
      </w:r>
    </w:p>
    <w:p>
      <w:r>
        <w:t>Es ist unbestritten, dass die Vorfahren der heutigen Beschwerdeführer schon vor 1961 Land im fraglichen Gebiet besassen, welches in einem späteren Quartierplanverfahren in der Form des heute umstrittenen Grundstücks ausgeschieden worden ist. Die Beeinträchtigung dieses Landes durch Fluglärm darf daher als unvorhersehbar gelten und gibt, sofern auch die weiteren Voraussetzungen erfüllt sind, Anspruch auf Entschädigung. Der Umstand, dass der Boden nach dem 1. Januar 1961 überbaut worden ist, lässt diesen Anspruch nicht erlöschen. Wird ein Gebäude errichtet, obwohl mit Lärm zu rechnen ist, so bedeutet dies, dass der Eigentümer die entsprechenden Beeinträchtigungen in Kauf nehmen will und muss, nicht aber, dass das Gebäude bei Eintritt der Lärmbelastung keinen Schaden erlitte. Mit anderen Worten hat die Voraussetzung der Vorhersehbarkeit der Immissionen lediglich zur Folge, dass der Eigentümer für den lärmbedingten Schaden am Gebäude selber einzustehen hat. Es wäre indessen verfehlt, dem Eigentümer mit Hinweis darauf, dass er einen Teil des Schadens selbst zu tragen hat, die Abgeltung der restlichen Einbusse zu verweigern. Ebenso wenig wäre es sachgerecht, die Schwere eines Schadens zu verneinen, nur weil der Entschädigungsanspruch des Grundeigentümers nicht den ganzen Schaden umfasst. Dagegen ist den Enteignern darin zuzustimmen, dass bei der Bewertung von Parzellen, die erst nach Ende 1960 überbaut worden sind, nicht von der Fiktion ausgegangen werden kann, diese seien unüberbaut geblieben und wiesen Baulandwert auf. Bei der Bewertung der enteigneten Grundstücke und der Bemessung des zu ersetzenden Schadens ist im Enteignungsverfahren grundsätzlich auf die rechtliche und tatsächliche Situation im massgebenden Schätzungszeitpunkt abzustellen (s. a. unten E. 11.1). Dies gilt auch in Fällen wie dem vorliegenden, wo einerseits die Entstehung des Entschädigungsanspruchs an spezielle Voraussetzungen gebunden und andererseits der Schaden nicht in allen Teilen abzugelten ist. Es ist daher bei der Prüfung, ob die Bedingungen der Spezialität der Einwirkungen und der Schwere des Schadens erfüllt sind, grundsätzlich von der am Schätzungsstichtag bestehenden konkreten Nutzung der Liegenschaft auszugehen, hier also von einem in der zweigeschossigen Wohnzone stehenden vermieteten Mehrfamilienhaus mit fünf Wohnungen.</w:t>
      </w:r>
    </w:p>
    <w:p>
      <w:r>
        <w:t>Zusammenfassend ist festzustellen, dass für die vom Abflugverkehr betroffenen Grundstücke in Opfikon-Glattbrugg, die vor dem 1. Januar 1961 erworben, aber erst nach diesem Datum überbaut worden sind, ein Entschädigungsanspruch nur für die Entwertung des Bodens entstehen kann. Bei der Beurteilung der Spezialität der Einwirkungen und der Schwere des Schadens ist jedoch von der Nutzung der fraglichen (Gesamt-)Liegenschaft im Schätzungszeitpunkt auszugehen. Sind die Voraussetzungen für die Leistung einer Entschädigung erfüllt, beschränkt sich diese auf den Ersatz des Minderwertes des Landanteils.</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des Bundesgesetzes über die Enteignung [EntG; SR 711] ). Dem Antrag der Enteigner um - enteignungsrechtliche - Höhereinstufung der der ES II zugewiesenen Grundstücke ist demnach nicht zu entsprechen.</w:t>
      </w:r>
    </w:p>
    <w:p>
      <w:r>
        <w:rPr>
          <w:b/>
        </w:rPr>
        <w:t>E. 8</w:t>
      </w:r>
    </w:p>
    <w:p>
      <w:r>
        <w:t>In Übernahme der Rechtsprechung zur materiellen Enteignung ist nach Auffassung der Enteigner nur dann von einem schweren Schaden auszugehen, wenn der Minderwert wegen Fluglärms einen Drittel des Verkehrswertes der betroffenen Liegenschaften übersteigt.</w:t>
      </w:r>
    </w:p>
    <w:p>
      <w:r>
        <w:t>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9</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w:t>
      </w:r>
    </w:p>
    <w:p>
      <w:r>
        <w:t>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w:t>
      </w:r>
    </w:p>
    <w:p>
      <w:r>
        <w:t>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rPr>
          <w:b/>
        </w:rPr>
        <w:t>E. 10</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w:t>
      </w:r>
    </w:p>
    <w:p>
      <w:r>
        <w:t>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9)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w:t>
      </w:r>
    </w:p>
    <w:p>
      <w:r>
        <w:t>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w:t>
      </w:r>
    </w:p>
    <w:p>
      <w:r>
        <w:t>Dem Begehren der Enteigner um generelle Vorteilsanrechnung ist nicht stattzugeben.</w:t>
      </w:r>
    </w:p>
    <w:p>
      <w:r>
        <w:rPr>
          <w:b/>
        </w:rPr>
        <w:t>E. 11</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w:t>
      </w:r>
    </w:p>
    <w:p>
      <w:r>
        <w:t>Die Beschwerdeführer anerkennen,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11.1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w:t>
      </w:r>
    </w:p>
    <w:p>
      <w:r>
        <w:t>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11.2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w:t>
      </w:r>
    </w:p>
    <w:p>
      <w:r>
        <w:t>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11.3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129 II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11.4</w:t>
      </w:r>
    </w:p>
    <w:p>
      <w:r>
        <w:t>Es ist unbestritten, dass die Zahl der Abflüge seit dem Jahr 2000 - teils wegen des Rückgangs des Flugverkehrs, teils infolge der Verlegung von Starts auf die Piste 28 - abgenommen hat. Die Beschwerdeführer machen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12</w:t>
      </w:r>
    </w:p>
    <w:p>
      <w:r>
        <w:t>Die Schätzungskommission ist im vorliegenden Fall davon ausgegangen, sie habe die lärmbedingte Einbusse des Wertes des unüberbauten Grundstücks der Beschwerdeführer zu bestimmen. Der volle Baulandwert beläuft sich gemäss dem angefochtenen Entscheid auf Fr. 805.--/m2, also insgesamt Fr. 1'561'700.-- für die 1'940 m² umfassende Parzelle. Zur Ermittlung des Minderwertes hat die Schätzungskommission die Lage des Bodens anhand des Lageklassenschlüssels des Schätzerhandbuchs vor und nach dem Lärmeintritt bewertet (vgl. Das Schweizerische Schätzerhandbuch, Bewertung von Immobilien, Ausgabe 2005, Hrsg. Schweiz. Vereinigung kantonaler Grundstücksbewertungsexperten SVK und Schweiz. Schätzungsexpertenkammer/Schweiz. Verband der Immobilien-Treuhänder SEK/SVIT, Tabelle 10). Dabei ist die Lageklasse des nur schwachen Immissionen ausgesetzten Grundstücks der Lageklasse des Grundstücks mit mittleren bis starken Immissionen gegenübergestellt worden. Aus den Bewertungen ergab sich für das Grundstück der Beschwerdeführer, wie bereits ausgeführt (E. 5), eine lärmbedingte Verschlechterung der Lageklasse um 0.8 Punkte (von 5.5 auf 4.7 Punkte) oder um rund 15 %. Die Schätzungskommission betrachtete jedoch diese Werteinbusse des Bodens angesichts des Gesamtwertes der Wohnliegenschaft nicht als schweren Schaden.</w:t>
      </w:r>
    </w:p>
    <w:p>
      <w:r>
        <w:t>Das Vorgehen der Schätzungskommission wird von beiden Parteien kritisiert.</w:t>
      </w:r>
    </w:p>
    <w:p>
      <w:r>
        <w:t>Die Enteigner stimmen den Folgerungen der Kommission zwar im Ergebnis zu, bringen jedoch vor, dass sich die Lageklassenmethode und der von der Schätzungskommission verwendete Lageklassenschlüssel nicht zur Minderwertsbestimmung eigneten. Für die Minderwertsermittlung seien hier vielmehr die für die Bewertung von Ertragsliegenschaften geltenden Regeln heranzuziehen. Von einer Entwertung des Bodens und einer entsprechenden Entschädigungspflicht könnte nur ausgegangen werden, wenn gesamthaft eine Ertragseinbusse auf der Liegenschaft nachgewiesen sei. Sollte also im vorliegenden Fall die Abgeltung eines Minderwertes in Betracht gezogen werden, sei das Schätzungsverfahren zu wiederholen.</w:t>
      </w:r>
    </w:p>
    <w:p>
      <w:r>
        <w:t>Auch die Beschwerdeführer bezeichnen das Vorgehen der Schätzungskommission zur Ermittlung des Minderwertes als ungeeignet und verlangen Neuschätzungen durch die Eidgenössische Oberschätzungskommission.</w:t>
      </w:r>
    </w:p>
    <w:p>
      <w:r>
        <w:rPr>
          <w:b/>
        </w:rPr>
        <w:t>E. 12.1</w:t>
      </w:r>
    </w:p>
    <w:p>
      <w:r>
        <w:t>Wie bereits dargelegt (E. 6), ist die Schwere des lärmbedingten Schadens auch dann mit Blick auf die Gesamtliegenschaft zu beurteilen, wenn dem Eigentümer nur ein Entschädigungsanspruch für das Land zusteht. Erweist sich die Beeinträchtigung der Gesamtliegenschaft im Sinne der Rechtsprechung als schwer, so ist der Schaden in einen auf das Gebäude entfallenden und in einen auf den Boden entfallenden Teil aufzugliedern und nur letzterer abzugelten. Bei dieser Aufteilung ist der Wert des Bodens mit Bezug auf die am Stichtag konkret bestehende Nutzung als relativer Landwert zu bestimmen, der in der Regel unter dem Baulandwert, d.h. dem Wert eines unüberbauten Grundstücks liegt. Soweit die Schätzungskommission nicht so vorgegangen ist, ist die Kritik der Parteien berechtigt.</w:t>
      </w:r>
    </w:p>
    <w:p>
      <w:r>
        <w:rPr>
          <w:b/>
        </w:rPr>
        <w:t>E. 12.2</w:t>
      </w:r>
    </w:p>
    <w:p>
      <w:r>
        <w:t>Wie in BGE 128 II 74 E. 5 c/aa S. 81 und 131 II 458 E. 5.1 S. 465 eingehend geschildert worden ist, beruht die sog. Lageklassenmethode auf der von zunächst Wolfgang Naegeli gewonnenen Erkenntnis, dass der Wert des Landes zum Gesamtwert einer Liegenschaft in einer ganz bestimmten Relation stehe, die für alle Grundstücke in der gleichen Lage dieselbe sei. Je besser die Lage, umso höher sei der Anteil des Landwertes am Gesamtwert. Bei der Bewertung einer Liegenschaft könne demnach der Neu- oder Zeitwert der bestehenden oder möglichen Überbauung errechnet und aus diesem Betrag entsprechend der Lageklasse, welche nach einem Bewertungsschlüssel für das Grundstück festgesetzt wird, der Landwert bestimmt werden. Ausgehend von ursprünglich 8 Lageklassen werden in der heutigen Fachliteratur mehrheitlich 10 Lageklassen mit entsprechenden Lageklassenschlüsseln und Landwertanteilen unterschieden (vgl. die Hinweise in BGE 131 II 458 E. 5.1 S. 465).</w:t>
      </w:r>
    </w:p>
    <w:p>
      <w:r>
        <w:t>Die Verschlechterung der Lageklasse hätte demnach gemäss der Lageklassenmethode zur Folge, dass der Anteil des Landwertes am Gesamtwert der Liegenschaft abnimmt und sich damit auch - bei gleich bleibendem Gebäudewert - der Gesamtwert selbst vermindert. Die Schätzungskommission hat jedoch bei der Schadensermittlung nicht auf diesen anteilsmässigen Wertverlust abgestellt, sondern ist davon ausgegangen, dass die lärmbedingte Verkehrswerteinbusse des Landes der prozentualen Einbusse an Lageklasse-Punkten (15 %) entspreche. Die Kommission hat mit anderen Worten nicht eigentlich die Lageklassenmethode angewandt, sondern lediglich den Lageklassenschlüssel benützt, um aufgrund der Benotung einzelner Eigenschaften des Grundstücks mit und ohne Lärmbelastung die Differenz zu ermitteln, welche nach Ansicht der Vorinstanz dem Minderwert der Gesamtliegenschaft bzw. des Bodenwertes entspricht. Für eine solche Minderwertsermittlung ist jedoch der als Eigenschaften-Tabelle beigezogene Lageklassenschlüssel, wie im Leitentscheid BGE 134 II 49 näher erläutert wird, recht undifferenziert. Die grobe Einteilung belässt den Schätzern, was auch die bei den Akten liegenden Bewertungen zeigen, einen weiten Spielraum des Ermessens. Angesichts der Undifferenziertheit der Eigenschaften-Tabelle ist der Kritik der Parteien auch darin zu folgen, dass sich die von der Schätzungskommission vorab verwendete Methode zur Bestimmung der fluglärmbedingten Entwertung wenig eignet. Sie kann aber unter Umständen, insbesondere wenn die Tabelle verfeinert wird, zur Kontrolle von anders ermittelten Ergebnissen beigezogen werden (vgl. unten E. 14.3).</w:t>
      </w:r>
    </w:p>
    <w:p>
      <w:r>
        <w:rPr>
          <w:b/>
        </w:rPr>
        <w:t>E. 12.3</w:t>
      </w:r>
    </w:p>
    <w:p>
      <w:r>
        <w:t>Die Beschwerdeführer verlangen, dass die Eidgenössische Oberschätzungskommission Neuschätzungen vornehme. Die Oberschätzungskommission ist jedoch kein Gremium, das als solches Schätzungen anstellen würde. Sie besteht vielmehr aus einer Reihe von Fachleuten aus verschiedenen Berufen, die vom Bundesgericht nach Bedarf zur fachtechnischen Beratung beigezogen werden können (vgl. Art. 80 und 82 EntG ; BGE 128 II 74 E. 3 S. 77). Vor Bundesgericht fällt aber die Wiederholung von Schätzungsverfahren in einer Vielzahl von Fällen ausser Betracht.</w:t>
      </w:r>
    </w:p>
    <w:p>
      <w:r>
        <w:rPr>
          <w:b/>
        </w:rPr>
        <w:t>E. 13</w:t>
      </w:r>
    </w:p>
    <w:p>
      <w:r>
        <w:t>Entspricht der lärmbedingte Schaden wie dargelegt (E. 9) der Differenz, die sich bei Gegenüberstellung des Verkehrswertes einer Liegenschaft vor und nach der Immissionsbelastung ergibt, so kann auch in Fällen wie dem vorliegenden nicht von Verkehrswertermittlungen abgesehen werden. Diese richtet sich für vermietete Mehrfamilienhäuser, wie die Enteigner zu Recht geltend machen,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zit. Schätzerhandbuch S. 49, 81; Kaspar Fierz, Der Schweizer Immobilienwert, 5. Aufl. 2005, S. 150 ff.). Die Ermittlung des Minderwertes der lärmbelasteten Miethäuser dürfte aber unabhängig von der angewendeten Methode nicht leicht fallen:</w:t>
      </w:r>
    </w:p>
    <w:p>
      <w:r>
        <w:t>Während sich bei Einfamilienhäusern und Stockwerkeigentum der Verkehrswert nach dem Interesse der Käufer und den möglichen Marktpreisen bestimmt, die relativ rasch auf äussere Einflüsse wie Lärmbelastungen reagieren, wird sich nach der Lebenserfahrung bei Mietobjekten, die Wohnzwecken dienen, die Ertragslage bei Mehrlärm nur langsam verschlechtern. Die meisten Mieter scheuen die Mühen und Kosten eines Umzugs. Alteingesessene Mieter werden ihre Wohnungen nicht leicht aufgeben, sondern eher geneigt sein, den Mehrlärm zu erdulden. Mieterwechsel und Leerstände werden sich daher erst allmählich, im Laufe mehrerer Jahre, häufen. Die abgeschlossenen Mietverträge enden denn auch nicht beim Auftreten übermässigen Lärms.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übermässigem Fluglärm ausgesetzt werden, eine wertmässige Einbusse erleiden und sich die schleichende Entwertung über kurz oder lang darin zeigen wird, dass für die lärmbelasteten Wohnungen nicht (mehr) die selben Mietzinse erzielt werden können wie für vergleichbare Objekte in ruhiger Lage. Der Ertragsverlust kann sich auch darin äussern, dass überdurchschnittliche Investitionen getätigt werden müssen, um die Lärmbelastung durch höheren Komfort und Standard auszugleichen.</w:t>
      </w:r>
    </w:p>
    <w:p>
      <w:r>
        <w:t>Es kann demnach im Entschädigungsverfahren - selbst wenn dieses etwas länger dauert - vom Eigentümer nicht verlangt werden, dass er den nach der übermässigen Lärmbelastung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14</w:t>
      </w:r>
    </w:p>
    <w:p>
      <w:r>
        <w:t>Es ist nicht Sache des Bundesgerichts als Beschwerdeinstanz, ein Raster bzw. die geeigneten Kriterien zur schematischen Beurteilung der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14.1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BGE 134 II 49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sogar noch stärker fluglärmbelastet sind, in ähnlicher Weise beeinträchtigt werden. Die Lärmsituation in den betroffenen Quartieren kann aufgrund der von der EMPA Dübendorf mittels FLULA2 (Fluglärmsimulationsprogramm) erstellten Belastungskarten hektargenau festgestellt werden.</w:t>
      </w:r>
    </w:p>
    <w:p>
      <w:r>
        <w:rPr>
          <w:b/>
        </w:rPr>
        <w:t>E. 14.2</w:t>
      </w:r>
    </w:p>
    <w:p>
      <w:r>
        <w:t>Der Umstand, dass sich Mietertragsverluste häufig erst allmählich einstellen (vgl. oben E. 13), kann etwa dadurch berücksichtigt werden, dass eine zu leistende Entschädigung nicht schon ab dem Schätzungsstichtag zu verzinsen ist. Dem Eigentümer muss jedoch Gelegenheit gegeben werden, eine sofortige Ertragseinbusse nachzuweisen.</w:t>
      </w:r>
    </w:p>
    <w:p>
      <w:r>
        <w:rPr>
          <w:b/>
        </w:rPr>
        <w:t>E. 14.3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verwendete Lageklassenschlüssel, von Nutzen sein.</w:t>
      </w:r>
    </w:p>
    <w:p>
      <w:r>
        <w:rPr>
          <w:b/>
        </w:rPr>
        <w:t>E. 15</w:t>
      </w:r>
    </w:p>
    <w:p>
      <w:r>
        <w:t>Die Schätzungskommission wird somit für das hier umstrittene Mehrfamilienhaus eine Ertragswert- und eine neue schematische Minderwertsermittlung vorzunehmen haben. Erweist sich der Wertverlust der Gesamtliegenschaft im Sinne der Rechtsprechung als schwer, ist der auf den Boden entfallende Minderwert zu bestimmen. Dieser ist den Beschwerdeführern in Form eines Kapitals und je nach Schadenseintritt mit Verzinsung ab dem dies aestimandi oder mit späterem Beginn des Zinsenlaufes zu vergüten (vgl. Leitentscheid BGE 134 II 49 E. 20 S. 92 ff. und E. 21 S. 94 f.). Da nur der lärmbedingte Schaden des Landes abzugelten ist, besteht kein Anlass zur Anrechnung der Aufwendungen für Schallschutzmassnahmen am Gebäude, welche von den Flughafenhaltern aufgrund der umweltschutzrechtlichen Sanierungsvorschriften zu übernehmen sind (vgl. BGE 126 II 522 E. 47 ff. S. 590 ff.).</w:t>
      </w:r>
    </w:p>
    <w:p>
      <w:r>
        <w:rPr>
          <w:b/>
        </w:rPr>
        <w:t>E. 16</w:t>
      </w:r>
    </w:p>
    <w:p>
      <w:r>
        <w:t>Die Enteigner verlangen, dass eine Entschädigungsleistung im Sinne von Art. 962 ZGB im Grundbuch angemerkt werde. Wohl fehle die für Anmerkungstatbestände des öffentlichen Bundesrechts nötige besondere gesetzliche Grundlage, doch hätten die Beschwerdeführer an der Schätzungsverhandlung dem grundbuchlichen Eintrag zugestimmt und komme daher die Dispositionsmaxime zum Zuge. Ob eine solche Eintragung aufgrund einer Vereinbarung vorgenommen werden könnte, kann jedoch offen gelassen werden. Nachdem im vorinstanzlichen Verfahren kein Vergleich geschlossen worden ist und sich die Beschwerdeführer im bundesgerichtlichen Verfahren der verlangten Eintragung widersetzen, kann nicht davon ausgegangen werden, die Parteien hätten sich über die grundbuchliche Anmerkung geeinigt. Eine solche kann deshalb, da die gesetzliche Grundlage immer noch fehlt, nicht angeordnet werden.</w:t>
      </w:r>
    </w:p>
    <w:p>
      <w:r>
        <w:rPr>
          <w:b/>
        </w:rPr>
        <w:t>E. 17</w:t>
      </w:r>
    </w:p>
    <w:p>
      <w:r>
        <w:t>Ist der angefochtene Entscheid demnach in Gutheissung der Verwaltungsgerichtsbeschwerde aufzuheben und das vorinstanzliche Verfahren wieder aufzunehmen, erübrigt es sich, über den Antrag auf Erhöhung der Parteientschädigung für das Verfahren vor der Schätzungskommission zu befinden.</w:t>
      </w:r>
    </w:p>
    <w:p>
      <w:r>
        <w:t>Die Kosten des bundesgerichtlichen Verfahrens sind der Regel von Art. 116 Abs. 1 EntG entsprechend den Enteignern aufzuerlegen. Diese sind zudem zu verpflichten, den Beschwerdeführern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