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1E.8/2004 vom 31. Januar 2005</w:t>
      </w:r>
    </w:p>
    <w:p>
      <w:r>
        <w:t>Bundesgericht, 2005-01-31, IT</w:t>
      </w:r>
    </w:p>
    <w:p>
      <w:r>
        <w:rPr>
          <w:b/>
        </w:rPr>
        <w:t xml:space="preserve">Quelle: </w:t>
      </w:r>
      <w:r>
        <w:t>https://mcp.opencaselaw.ch/entscheid/bger_1E.8_2004</w:t>
      </w:r>
    </w:p>
    <w:p>
      <w:r>
        <w:t>FR: TF 1E.8/2004 du 31 janvier 2005</w:t>
      </w:r>
    </w:p>
    <w:p>
      <w:r>
        <w:t>IT: TF 1E.8/2004 del 31 gennaio 2005</w:t>
      </w:r>
    </w:p>
    <w:p>
      <w:pPr>
        <w:pStyle w:val="Heading2"/>
      </w:pPr>
      <w:r>
        <w:t>Regeste</w:t>
      </w:r>
    </w:p>
    <w:p>
      <w:r>
        <w:t>espropriazione (indennità per immissioni) | Espropriazione</w:t>
      </w:r>
    </w:p>
    <w:p>
      <w:pPr>
        <w:pStyle w:val="Heading2"/>
      </w:pPr>
      <w:r>
        <w:t>Erwägungen</w:t>
      </w:r>
    </w:p>
    <w:p>
      <w:r>
        <w:rPr>
          <w:b/>
        </w:rPr>
        <w:t>E. 1.1</w:t>
      </w:r>
    </w:p>
    <w:p>
      <w:r>
        <w:t>Contro le decisioni delle Commissioni federali di stima è dato il ricorso di diritto amministrativo al Tribunale federale ( art. 77 cpv. 1 LEspr , art. 115 cpv. 1 OG ). Sia AlpTransit sia A.________, quali parti principali al procedimento, sono legittimati a ricorrere, rispettivamente a proporre ricorso adesivo, e a presentare conclusioni indipendenti (art. 78 cpv. 1 e 2 prima frase LEspr). I termini di 30 giorni per il ricorso principale ( art. 106 OG in relazione con gli art. 115 cpv. 1 OG e 77 cpv. 2 LEspr), rispettivamente di 10 giorni per il rimedio adesivo ( art. 78 cpv. 2 LEspr ), sono rispettati. Entrambi i gravami sono quindi, sotto i citati profili, di principio ammissibili. 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128 II 231 consid. 2.4.1); che pure l'adeguatezza della decisione impugnata possa essere riveduta risulta poi dall'art. 104 lett. c n. 1 OG.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114 Ib 286 consid. 9 pag. 300, 109 Ib 26 consid. 1b e rinvii).</w:t>
      </w:r>
    </w:p>
    <w:p>
      <w:r>
        <w:rPr>
          <w:b/>
        </w:rPr>
        <w:t>E. 1.2</w:t>
      </w:r>
    </w:p>
    <w:p>
      <w:r>
        <w:t>Visto l'esito del ricorso, gli atti di causa sono sufficienti a chiarire la situazione, sicché il sopralluogo chiesto dalla ricorrente, non necessario, non viene effettuato (art. 95 in relazione con l' art. 113 OG ; DTF 123 II 248 consid. 2a, 122 II 274 consid. 1d).</w:t>
      </w:r>
    </w:p>
    <w:p>
      <w:r>
        <w:rPr>
          <w:b/>
        </w:rPr>
        <w:t>E. 2.1</w:t>
      </w:r>
    </w:p>
    <w:p>
      <w:r>
        <w:t>La ricorrente fa valere una violazione del diritto di essere sentito, in particolare dell' art. 50 del regolamento concernente le CFS, del 24 aprile 1972 (RS 711.1). Rileva che la CFS ha fatto capo, riguardo alla questione delle immissioni foniche e delle polveri, alla consulenza di due esperti, dandone atto nella decisione impugnata senza tuttavia concederle la facoltà di esprimersi al proposito. La ricorrente rimprovera inoltre alla CFS di averle trasmesso solo copia per conoscenza dello scritto del 15 dicembre 2003, che assegnava alle parti un termine fino al 9 gennaio 2004 per presentare delle conclusioni, ed osserva come il rapporto di un esperto sia ancora stato completato il 20 gennaio 2004.</w:t>
      </w:r>
    </w:p>
    <w:p>
      <w:r>
        <w:rPr>
          <w:b/>
        </w:rPr>
        <w:t>E. 2.2</w:t>
      </w:r>
    </w:p>
    <w:p>
      <w:r>
        <w:t>Queste contestazioni devono essere esaminate prioritariamente, poiché il diritto di essere sentito ha natura formale e la sua lesione comporta di regola l'annullamento della decisione impugnata indipendentemente dalle possibilità di esito favorevole del gravame nel merito ( DTF 122 II 464 consid. 4a e rinvii). Relativamente alla procedura di stima, l'invocato diritto è disciplinato dall' art. 50 del regolamento concernente la CFS, che impone di dare conoscenza degli accertamenti esperiti dalla Commissione di stima alle parti in un'udienza, mediante esposizione degli atti o con comunicazione scritta (cpv. 1). Tale norma prevede poi esplicitamente che alle parti è accordata la facoltà di esprimersi al riguardo (cpv. 2; cfr., sul diritto di consultare gli atti, anche l' art. 26 PA cui rinvia l' art. 3 del citato regolamento). Il diritto di essere sentito assicura al cittadino la facoltà di esprimersi prima che sia presa una decisione che lo tocca nella sua situazione giuridica e comprende il diritto per l'interessato di consultare l'incarto, di offrire mezzi di prova su punti rilevanti e di partecipare alla loro assunzione o perlomeno di potersi esprimere sui risultati, in quanto possano influire sul giudizio che dovrà essere preso ( DTF 129 V 73 consid. 4.1, 127 III 576 consid. 2c, 126 I 15 consid. 2a/aa, 124 I 241 consid. 2 e rispettivi rinvii). Questa garanzia impone quindi, di massima, all'autorità che inserisce nell'incarto nuovi atti, di cui intende prevalersi ai fini del giudizio, di avvisare le parti e di concedere loro la possibilità di esprimersi al proposito ( DTF 124 II 132 consid. 2b, 114 Ia 97 consid. 2c; sentenza 1A.60/2002 del 10 settembre 2002, consid. 2.3, citata in URP 2002, pag. 801).</w:t>
      </w:r>
    </w:p>
    <w:p>
      <w:r>
        <w:rPr>
          <w:b/>
        </w:rPr>
        <w:t>E. 2.3</w:t>
      </w:r>
    </w:p>
    <w:p>
      <w:r>
        <w:t>La CFS ha esposto nella decisione impugnata di avere fatto capo alla consulenza di due esperti ed ha in particolare riportato nel suo giudizio l'opinione del dott. Bernasconi riguardo alla problematica delle polveri. Nelle sue osservazioni al gravame in esame ha sottolineato che sin dall'udienza del 17 aprile 2001 l'ente espropriante sarebbe stato a conoscenza del fatto ch'essa avrebbe fatto capo a una consulenza tecnico-scientifica. Tuttavia, dal verbale di tale udienza risulta unicamente che la CFS avrebbe valutato l'opportunità di designare uno o più periti e ch'essa avrebbe ancora comunicato alle parti la propria decisione, dando loro la possibilità di esprimersi. Nel seguito, la CFS non ha però proceduto nel modo esposto, pur facendo capo alla consulenza di due esperti. Non risulta infatti dagli atti che AlpTransit sia stata informata o abbia altrimenti avuto conoscenza dell'incontro avvenuto il 17 gennaio 2002 tra la CFS, invero presieduta dal precedente Presidente, e il dott. Bernasconi e della lettera stesa da questi il giorno successivo. Né risulta che all'espropriante sia stata data puntuale comunicazione degli scritti stesi dall'altro esperto, segnatamente della sua comunicazione 20 gennaio 2004 richiamata nella decisione impugnata. Certo, con lettera del 15 dicembre 2003 la CFS ha assegnato alle parti un termine fino al 9 gennaio 2004 per presentare un allegato conclusivo. Contrariamente all'opinione della ricorrente, il fatto che tale scritto le sia stato trasmesso solo in copia non è determinante, decisiva essendo la circostanza che la facoltà anche per AlpTransit di inoltrare un tale allegato era chiaramente e specificatamente indicata nello stesso. Nelle esposte circostanze, spettava tuttavia alla CFS avvisare le parti dei nuovi atti inseriti nell'incarto, anche sui quali ha fondato la sua decisione. In effetti, come visto, perlomeno gli atti indicati nel ricorso in esame non risultano essere stati a conoscenza della ricorrente, né potevano da essa essere ragionevolmente presunti come acquisiti agli atti. A maggior ragione se si rileva che, con lettera del 28 febbraio 2004, relativamente a determinati documenti (estratto del registro fondiario, contrattazioni immobiliari, verbali della Commissione intercomunale, incarto della domanda di costruzione), la CFS aveva informato le parti della loro acquisizione agli atti. Rilevato che ciò non era però avvenuto in precedenza riguardo anche ad altre risultanze istruttorie, si giustificava, terminata l'istruttoria, di comunicare alle parti il risultato degli accertamenti esperiti e di assegnare alle stesse un termine per esprimersi al riguardo (cfr. art. 50 del regolamento). Non procedendo in tale modo, la CFS ha quindi disatteso il diritto di essere sentito dell'espropriante.</w:t>
      </w:r>
    </w:p>
    <w:p>
      <w:r>
        <w:rPr>
          <w:b/>
        </w:rPr>
        <w:t>E. 2.4</w:t>
      </w:r>
    </w:p>
    <w:p>
      <w:r>
        <w:t>Benché il Tribunale federale, nell'ambito di un gravame come quello in oggetto, esamini liberamente gli accertamenti di fatto e l'applicazione del diritto, la violazione del diritto di sentito non può essere sanata in questa sede. In effetti, premesso che una sanatoria deve rimanere l'eccezione ( DTF 127 V 431 consid. 3d/aa, 126 I 68 consid. 2, 126 V 130 consid. 2b), il vizio formale concerne in concreto sostanzialmente questioni di natura tecnica, rilevanti per il giudizio. Ritenuto che la CFS si è fondata in modo non trascurabile anche sulle opinioni formulate dagli esperti e considerato che sugli aspetti tecnici il Tribunale federale si impone comunque un preciso riserbo (cfr. DTF 110 Ib 52 consid. 2, 100 Ib 190 consid. 4), il rinvio degli atti alla precedente autorità non costituisce nella fattispecie un inutile prolungamento della procedura, ma addirittura si impone per permettere alla ricorrente di esprimersi dinanzi alla CFS sulle risultanze istruttorie e di sollevare già in quella sede le sue contestazioni al proposito.</w:t>
      </w:r>
    </w:p>
    <w:p>
      <w:r>
        <w:rPr>
          <w:b/>
        </w:rPr>
        <w:t>E. 3</w:t>
      </w:r>
    </w:p>
    <w:p>
      <w:r>
        <w:t>Ne segue che il ricorso dell'espropriante deve essere accolto e la decisione impugnata annullata. Gli atti sono pertanto rinviati alla CFS perché statuisca nuovamente sulla causa dopo avere garantito alla ricorrente il diritto di essere sentito. L'annullamento della decisione impugnata rende prematuro in questa sede il giudizio sul ricorso adesivo, che diviene privo d'oggetto. Visto l'esito del gravame, si giustifica di non prelevare una tassa di giustizia e di non assegnare ripetibili della sede federale all'espropriato, soccombente per avere postulato la reiezione del ricorso (cfr. art. 116 LEspr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