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1E.8/2001 vom 18. Oktober 2001</w:t>
      </w:r>
    </w:p>
    <w:p>
      <w:r>
        <w:t>Bundesgericht, 2001-10-18, FR</w:t>
      </w:r>
    </w:p>
    <w:p>
      <w:r>
        <w:rPr>
          <w:b/>
        </w:rPr>
        <w:t xml:space="preserve">Quelle: </w:t>
      </w:r>
      <w:r>
        <w:t>https://mcp.opencaselaw.ch/entscheid/bger_1E.8_2001</w:t>
      </w:r>
    </w:p>
    <w:p>
      <w:r>
        <w:t>FR: TF 1E.8/2001 du 18 octobre 2001</w:t>
      </w:r>
    </w:p>
    <w:p>
      <w:r>
        <w:t>IT: TF 1E.8/2001 del 18 ottobre 2001</w:t>
      </w:r>
    </w:p>
    <w:p>
      <w:pPr>
        <w:pStyle w:val="Heading2"/>
      </w:pPr>
      <w:r>
        <w:t>Regeste</w:t>
      </w:r>
    </w:p>
    <w:p>
      <w:r>
        <w:t>Expropriation</w:t>
      </w:r>
    </w:p>
    <w:p>
      <w:pPr>
        <w:pStyle w:val="Heading2"/>
      </w:pPr>
      <w:r>
        <w:t>Erwägungen</w:t>
      </w:r>
    </w:p>
    <w:p>
      <w:r>
        <w:rPr>
          <w:b/>
        </w:rPr>
        <w:t>E. 1</w:t>
      </w:r>
    </w:p>
    <w:p>
      <w:r>
        <w:t>Formé en temps utile par les expropriés contre une décision prise au terme d'une procédure d'estimation régie par la loi fédérale sur l'expropriation (LEx; RS 711), le recours de droit administratif est recevable ( art. 77 et 78 LEx , art. 106 al. 1 OJ ).</w:t>
      </w:r>
    </w:p>
    <w:p>
      <w:r>
        <w:rPr>
          <w:b/>
        </w:rPr>
        <w:t>E. 2</w:t>
      </w:r>
    </w:p>
    <w:p>
      <w:r>
        <w:t>Les recourants reprochent à la Commission fédérale de n'avoir pas tenu de procès-verbal de l'audience du 13 décembre 2000, contrairement aux exigences du droit fédéral. Selon eux, la convention qu'ils ont passée avec l'expropriant n'a que la portée d'une transaction partielle, au sujet de la constitution de la servitude de passage; or seul un accord définitif, consigné au procès-verbal et concernant toutes les conclusions prises dans leur mémoire du 4 décembre 2000, aurait permis à la Commission fédérale de mettre fin au litige de cette manière. Ils invoquent en particulier les art. 53 et 54 LEx et se plaignent d'un excès ou d'un abus du pouvoir d'appréciation au sujet du contenu de la convention du 13 décembre 2000 (cf. art. 104 let. a OJ ). a) Il convient de relever, en premier lieu, que les recourants ne reprennent pas, devant le Tribunal fédéral, l'argumentation de leur "déclaration" du 15 décembre 2000 adressée à la Commission fédérale. En d'autres termes, ils ne prétendent plus que la convention du 13 décembre 2000 ne les obligerait pas; ils se bornent à l'interpréter comme une transaction partielle. b) aa) L' art. 53 al. 1 LEx vise le cas où la procédure de conciliation ( art. 45 ss LEx , procédure précédant l'estimation) aboutit à une entente entre parties sur les demandes d'indemnité; cette disposition prévoit que le procès-verbal de l'audience de conciliation a la même valeur qu'un prononcé définitif de la commission d'estimation. En l'occurrence, on ne se trouve pas dans cette situation, l'entente des parties au sujet de la constitution de la servitude de passage étant intervenue au cours de la procédure d'estimation ( art. 57 ss LEx ) et ayant fait l'objet d'une décision spéciale de la Commission fédérale, ratifiant la convention passée entre l'expropriant et les expropriés. bb) L' art. 54 al. 1 LEx règle l'hypothèse d'une entente sur l'indemnité intervenue après l'ouverture de la procédure d'expropriation, mais en dehors de l'audience de conciliation ("entente directe"); cette entente, qui doit être communiquée au président de la commission d'estimation, lie les parties si elle a été conclue en la forme écrite. Il apparaît ainsi que le droit fédéral ne conditionne pas la validité d'une convention d'expropriation à son introduction dans le procès-verbal d'une audience (audience de conciliation [cf. art. 49 let. b LEx ] ou débats selon l' art. 67 LEx ). Il n'a pas été tenu de procès-verbal de l'audience du 13 décembre 2000; a fortiori la convention du même jour n'a-t-elle pas été insérée dans un procès-verbal officiel. Au regard des règles de la loi fédérale, notamment de l' art. 54 LEx , cette convention écrite - qui peut éventuellement, d'un point de vue formel, être qualifiée d'entente directe entre les parties - n'en est pas moins valable. c) Il reste donc à examiner si la Commission fédérale était fondée à considérer que, par cette convention, les parties avaient mis fin à la contestation au sujet de l'acquisition du droit constitué en faveur de l'expropriant. La convention, telle qu'elle est rédigée - sur une formule imprimée qui, manifestement, n'est pas utilisée uniquement en cas de transaction après l'ouverture de la procédure d'estimation, mais qui doit également servir en cas d'acquisition de gré à gré des droits de passage pour les lignes électriques de l'expropriant, indépendamment de toute procédure d'expropriation -, ne précise pas le sort des conclusions formulées par les expropriés au cours de la procédure d'estimation; elle n'indique pas de quelle manière il sera mis fin à cette procédure judiciaire et elle ne règle pas non plus les questions accessoires liées aux opérations d'instruction déjà effectuées (frais et dépens). En l'absence, dans le texte signé, de manifestation claire de la volonté des parties sur ces différents points, il y a lieu d'interpréter cette convention selon le principe de la confiance, qui veut que celui qui fait une déclaration de volonté adressée à autrui est lié par sa déclaration selon le sens que le destinataire peut et doit lui attribuer de bonne foi en fonction de l'ensemble des circonstances ( ATF 126 III 59 consid. 5a p. 67, 375 consid. 2e/aa p. 379 et les arrêts cités). La procédure d'expropriation a été ouverte en vue de la constitution d'une servitude de passage des conducteurs d'une nouvelle ligne électrique sur la parcelle des recourants. La convention litigieuse porte précisément sur cet objet et ne contient aucune réserve au sujet d'une éventuelle extension de l'expropriation. Tant l'expropriant que la Commission fédérale pouvaient en déduire qu'en signant pareille convention lors d'une audience et avec l'assistance d'un avocat, les recourants entendaient mettre fin à la procédure d'expropriation en autorisant l'expropriant à acquérir, moyennant paiement de l'indemnité prévue, le droit constitué en sa faveur (cf. art. 91 al. 1 LEx ). En d'autres termes, cette convention, vu les circonstances dans lesquelles elle a été conclue, ne pouvait à l'évidence pas être interprétée comme une transaction partielle. Il en résulte que la Commission fédérale n'a pas violé le droit fédéral en rendant la décision attaquée.</w:t>
      </w:r>
    </w:p>
    <w:p>
      <w:r>
        <w:rPr>
          <w:b/>
        </w:rPr>
        <w:t>E. 3</w:t>
      </w:r>
    </w:p>
    <w:p>
      <w:r>
        <w:t>Le recours de droit administratif, mal fondé, doit être rejeté. Les frais du présent arrêt, ainsi que des dépens réduits alloués à l'expropriant, doivent être mis à la charge des recourants, dont la démarche apparaissait d'emblée vouée à l'échec ( art. 116 al. 1 LEx , art. 115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