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1E.6/2004 vom 23. April 2004</w:t>
      </w:r>
    </w:p>
    <w:p>
      <w:r>
        <w:t>Bundesgericht, 2004-04-23, DE</w:t>
      </w:r>
    </w:p>
    <w:p>
      <w:r>
        <w:rPr>
          <w:b/>
        </w:rPr>
        <w:t xml:space="preserve">Quelle: </w:t>
      </w:r>
      <w:r>
        <w:t>https://mcp.opencaselaw.ch/entscheid/bger_1E.6_2004</w:t>
      </w:r>
    </w:p>
    <w:p>
      <w:r>
        <w:t>FR: TF 1E.6/2004 du 23 avril 2004</w:t>
      </w:r>
    </w:p>
    <w:p>
      <w:r>
        <w:t>IT: TF 1E.6/2004 del 23 aprile 2004</w:t>
      </w:r>
    </w:p>
    <w:p>
      <w:pPr>
        <w:pStyle w:val="Heading2"/>
      </w:pPr>
      <w:r>
        <w:t>Regeste</w:t>
      </w:r>
    </w:p>
    <w:p>
      <w:r>
        <w:t>Enteignung</w:t>
      </w:r>
    </w:p>
    <w:p>
      <w:pPr>
        <w:pStyle w:val="Heading2"/>
      </w:pPr>
      <w:r>
        <w:t>Erwägungen</w:t>
      </w:r>
    </w:p>
    <w:p>
      <w:r>
        <w:rPr>
          <w:b/>
        </w:rPr>
        <w:t>E. 1</w:t>
      </w:r>
    </w:p>
    <w:p>
      <w:r>
        <w:t>Entscheide der Eidgenössischen Schätzungskommissionen unterliegen der Verwaltungsgerichtsbeschwerde an das Bundesgericht (Art. 77 Abs. 1 des Bundesgesetzes über die Enteignung [Ent; SR 711]). Dieses wendet auf Verwaltungsgerichtsbeschwerde hin das Recht von Amtes wegen an, wobei es grundsätzlich an die Parteibegehren, nicht aber an die vorgebrachten Begründungen gebunden ist (vgl. Art. 114 Abs. 1 OG ). In Enteignungssachen kann das Bundesgericht indes als Aufsichtsbehörde über die Schätzungskommissionen ( Art. 63 EntG ) unter gewissen Umständen auch korrigierend in die Rechtsprechung der Kommissionen eingreifen, ohne an die Anträge der Parteien gebunden zu sein ( BGE 124 II 511 E. 1 S. 512 f. mit Hinweisen auf weitere Entscheide). Solche Umstände liegen - wie sich im Folgenden zeigt - hier vor.</w:t>
      </w:r>
    </w:p>
    <w:p>
      <w:r>
        <w:rPr>
          <w:b/>
        </w:rPr>
        <w:t>E. 2</w:t>
      </w:r>
    </w:p>
    <w:p>
      <w:r>
        <w:t>Der Erwerb der für den Bau und Betrieb der 380 kV-Leitung der NOK ist in den Jahren 1959 bis 1961 bereits auf dem Wege der Enteignung erfolgt. Wie sich aus den seinerzeitigen Akten der Eidgenössischen Schätzungskommission (damals VI. Kreis) und des Bundesgerichts (Verfahren E.31/1961) ergibt, wurden der Enteignerin auf dem umstrittenen Grundstück Nr. 2844 Überleitungsrechte für eine Länge von 518 m (258 m über Wiesland und 260 über Wald) sowie ein Baurecht für den Mast Nr. 99 eingeräumt. Die NOK hat nun im zusätzlichen Enteignungsverfahren um weitere Belastung der fraglichen Parzelle bzw. des Leitungskorridors mit einem Niederhalteservitut ersucht. Das Enteignungsverfahren für den Bau oder Betrieb von elektrischen Starkstromanlagen richtet sich heute grundsätzlich nach den revidierten Vorschriften von Art. 16 ff. und Art. 43 ff. des Bundesgesetzes betreffend die elektrischen Schwach- und Starkstromanlagen vom 24. Juni 1902 (EleG; SR 743.0) sowie subsidiär nach dem Bundesgesetz über die Enteignung (vgl. Art. 16a EleG ). Da im vorliegenden Fall nach Auffassung der NOK an der Leitung selbst nichts geändert werden soll und daher keine Plangenehmigung erforderlich ist, bestimmt sich der Ablauf des Verfahrens ausschliesslich nach dem Enteignungsgesetz.</w:t>
      </w:r>
    </w:p>
    <w:p>
      <w:r>
        <w:rPr>
          <w:b/>
        </w:rPr>
        <w:t>E. 3</w:t>
      </w:r>
    </w:p>
    <w:p>
      <w:r>
        <w:t>Wie im angefochtenen Entscheid dargelegt wird, hat der Enteignete innert der Eingabefrist Einsprache gegen die Enteignung erhoben. Das Einigungsverfahren vor der Schätzungskommission verlief letztlich erfolglos. Die Eidgenössische Schätzungskommission, Kreis 11, hat hierauf im Schätzungsverfahren nicht nur über die Höhe der Enteignungsentschädigung sondern auch über die Einsprache des Enteigneten befunden. Über Einsprachen gegen die Enteignung hat jedoch nicht die Schätzungskommission, sondern die Einsprachebehörde zu entscheiden, hier also das Eidgenössische Departement für Umwelt, Verkehr, Energie und Kommunikation (UVEK) als in der Sache zuständiges Departement ( Art. 55 EntG ; vgl. BGE 103 Ib 91 E. 2a S. 94, 116 Ib 241 E. 3a S. 246, 124 II 511 E. 3c S. 516, je mit Hinweisen). Die Eidgenössische Schätzungskommission, Kreis 11, war daher weder befugt, der Enteignerin auf dem Grundeigentum des Enteigneten ein Niederhalteservitut einzuräumen, noch dazu berechtigt, den Umfang dieser Dienstbarkeit festzulegen. Sie hätte vielmehr die streitig gebliebene Einsprache in Anwendung von Art. 50 EntG dem UVEK übermitteln müssen. Die Bemessung der dem Enteigneten allenfalls zuzusprechenden Entschädigung wird erst nach Durchführung des Einspracheverfahrens und dessen Ausgang gemäss vorzunehmen sein. Der angefochtene Entscheid ist daher aufsichtsrechtlich aufzuheben und die Eidgenössische Schätzungskommission, Kreis 11, einzuladen, die Akten zum Entscheid über die erhobene Einsprache dem UVEK zuzustellen.</w:t>
      </w:r>
    </w:p>
    <w:p>
      <w:r>
        <w:rPr>
          <w:b/>
        </w:rPr>
        <w:t>E. 4</w:t>
      </w:r>
    </w:p>
    <w:p>
      <w:r>
        <w:t>Die Kosten des bundesgerichtlichen Verfahrens sind der Regel von Art. 116 EntG entsprechend der Enteignerin zu belasten. Diese ist im Übrigen zu verpflichten, dem nicht durch einen Rechtsanwalt vertretenen Enteigneten eine Umtriebsentschädigung von Fr. 200.--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