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1E.23/2007 vom 17. April 2008</w:t>
      </w:r>
    </w:p>
    <w:p>
      <w:r>
        <w:t>Bundesgericht, 2008-04-17, DE</w:t>
      </w:r>
    </w:p>
    <w:p>
      <w:r>
        <w:rPr>
          <w:b/>
        </w:rPr>
        <w:t xml:space="preserve">Quelle: </w:t>
      </w:r>
      <w:r>
        <w:t>https://mcp.opencaselaw.ch/entscheid/bger_1E.23_2007</w:t>
      </w:r>
    </w:p>
    <w:p>
      <w:r>
        <w:t>FR: TF 1E.23/2007 du 17 avril 2008</w:t>
      </w:r>
    </w:p>
    <w:p>
      <w:r>
        <w:t>IT: TF 1E.23/2007 del 17 aprile 2008</w:t>
      </w:r>
    </w:p>
    <w:p>
      <w:pPr>
        <w:pStyle w:val="Heading2"/>
      </w:pPr>
      <w:r>
        <w:t>Regeste</w:t>
      </w:r>
    </w:p>
    <w:p>
      <w:r>
        <w:t>Enteignung nachbarrechtlicher Abwehrbefugnisse infolge Fluglärms sowie von Abwehrrechten gegen den direkten Überflug ausgehend vom Landesflughafen Zürich | Enteignung</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 BGE 134 II 49 ).</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der Beschwerdeführerin durch direkte Überflüge betroffen werde und sich schon aus dieser Eigentumsverletzung ein Entschädigungsanspruch ergebe. Die Schätzungskommission hat einen solchen Anspruch verneint, da - wie das Bundesgericht in BGE 131 II 137 E. 3.2 dargelegt habe - die Abflüge nicht zu den gleichen Einwirkungen wie die Landeanflüge führten. Im Weiteren werde bei der hier fraglichen Liegenschaft die kritische Höhe für einen eigentlichen Überflug klar überschritten. Die Enteigner stimmen den Ausführungen der Schätzungskommission zu und bezeichnen die Entschädigungsforderung für Überflug zudem als verjährt. Die Beschwerdeführerin bringt vor, eine Entschädigung sei schon dann geschuldet, wenn ein Grundstück nur selten oder sogar bloss einmal überflogen werde, wobei auch nahe seitliche Vorbeiflüge mit in Betracht zu ziehen seien. Sie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 Der Auffassung der Beschwerdeführerin,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 auf die zivilrechtlichen Prinzipien über die Ausübung und Abgeltung von Dienstbarkeiten geht demnach an der Sache vorbei.</w:t>
      </w:r>
    </w:p>
    <w:p>
      <w:r>
        <w:rPr>
          <w:b/>
        </w:rPr>
        <w:t>E. 4.3</w:t>
      </w:r>
    </w:p>
    <w:p>
      <w:r>
        <w:t>Die Beschwerdeführerin vertritt nebenbei den Standpunkt,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Parteien ersuchen das Bundesgericht, die kritische Flughöhe für den eigentlichen Überflug ein für allemal zu bestimmen. 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bzw. 250 m ( BGE 131 II 137 E. 3.2.2 S. 150). Anhand dieser Kriterien lässt sich im vorliegenden Fall die Frage des Überflugs stricto sensu beantworten und besteht kein Anlass zu weiteren Abgrenzungen.</w:t>
      </w:r>
    </w:p>
    <w:p>
      <w:r>
        <w:rPr>
          <w:b/>
        </w:rPr>
        <w:t>E. 4.5</w:t>
      </w:r>
    </w:p>
    <w:p>
      <w:r>
        <w:t>Die von der Beschwerdeführerin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Beschwerdeführerin bestreitet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der Beschwerdeführerin liegt, um ca. 230 m von der Pistenachse verschoben, rund 1 km vom Ende der Piste 16 entfernt. In diesem Bereich sind die Abflüge der nach Osten abdrehenden Flugzeuge gemäss den Aufzeichnungen der Flugspuren bereits breit gestreut. Das Grundstück der Beschwerdeführerin wird praktisch nie direkt überflogen. Der Grossteil der Flugzeuge erreicht hier eine Höhe von über 500 m. Nur vereinzelt werden bei hohen Temperaturen auch Flüge in einer Höhe zwischen 300 und 400 m verzeichnet. Im vorliegenden Fall kann somit, wie die Schätzungskommission zu Recht erkannt hat, von eigentlichen Überflügen - d.h. wie dargelegt von regelmässigen direkten Überflügen in geringer Höhe - nicht die Rede sein. Daran ändert auch nichts, wenn hier, wie die Beschwerdeführerin geltend macht, einzelne Abflugspuren unter der durchschnittlichen Höhe auf Starts von schlechter steigenden Grossflugzeugen zurückzuführen sind. Dem Begehren um Zusprechung einer Entschädigung für eigentlichen Überflug kann demnach nicht stattgegeben werden. Die Prüfung der Verjährungsfrage erübrigt sich.</w:t>
      </w:r>
    </w:p>
    <w:p>
      <w:r>
        <w:rPr>
          <w:b/>
        </w:rPr>
        <w:t>E. 5</w:t>
      </w:r>
    </w:p>
    <w:p>
      <w:r>
        <w:t>Zu untersuchen bleibt, ob der Beschwerdeführerin ein Entschädigungsanspruch für die Unterdrückung ihrer nachbarlichen Abwehrrechte gegenüber Lärmeinwirkungen zustehe. Ein solcher setzt nach der Rechtsprechung voraus, dass die drei Bedingungen der Unvorhersehbarkeit der Lärmimmissionen, der sog. Spezialität der Immissionen sowie der Schwere des immissionsbedingten Schadens gegeben sind (vgl. etwa BGE 123 II 481 E. 7 S. 490 ff.; 130 II 394 E. 7.1 S. 402, E. 9.2 S. 410, E. 12 S. 414, je mit Hinweisen). Im angefochtenen Entscheid wird zur umstrittenen Liegenschaft ausgeführt, diese sei von der Beschwerdeführerin vor dem 1. Januar 1961 erworben worden und gestützt auf ein selbständiges und dauerndes Baurecht mit Mehrfamilienhäusern überbaut worden. Die Überbauung sei nicht relevant, weil nur die Ansprüche zu beurteilen seien, welche die Beschwerdeführerin als Baurechtsgeberin geltend mache. Damit sei die Voraussetzung der Unvorhersehbarkeit der Immissionen für das Baurechtsland erfüllt. Da die Immissionsgrenzwerte im fraglichen Gebiet, das der Empfindlichkeitsstufe II (ES II) zugewiesen sei, überschritten würden, sei auch die Voraussetzung der Spezialität der Einwirkungen gegeben. Was den fluglärmbedingten Minderwert anbelange, sei massgebend allein der Wert des Baurechtslandes. Das von den Enteignern erarbeitete besondere hedonische Schätzungsmodell für die Kategorie des selbst genutzten Wohneigentums, das MIFLU, finde auf eine derartige Liegenschaft keine Anwendung. Die Verkehrswertschätzung basiere auf der Lageklassenmethode (unter Abzinsung infolge der Dauer des Baurechts) und berücksichtige den Barwert des Baurechts. Daraus resultiere für den provisorisch gewählten Stichtag des 1. Juli 2000 ein Verkehrswert von Fr. 250'000.--. Die Liegenschaft sei noch bis zum 31. Dezember 2048 mit dem Baurecht belastet. Während dieser Zeit erhalte die Beschwerdeführerin den dafür vereinbarten Baurechtszins. Der Wert der Liegenschaft sei damit massgeblich bestimmt durch den Ertrag aus dem langfristigen Baurecht. Dass die Baurechtsnehmerin seit dem Stichtag aufgrund übermässigen Fluglärms eine Reduktion des Baurechtszinses verlangt hätte, macht die Beschwerdeführerin nicht geltend. Damit sei nicht ersichtlich, inwiefern ein Minderwert infolge übermässigen Fluglärms vorliegen solle. Die Entschädigungsforderung der Beschwerdeführerin sei demnach abzuweisen. Die Beschwerdeführerin räumt ein, dass der langfristige Baurechtsvertrag einen Einfluss auf den Wert der Liegenschaft habe. Zutreffend sei auch, dass sich der Baurechtszins und damit der Ertrag der Liegenschaft seit der Erhöhung der Lärmbelastung nicht verändert habe. Die Schätzungskommission verkenne aber, dass der Baurechtsvertrag lediglich das Verhältnis zwischen der Beschwerdeführerin und der Baurechtsnehmerin beschlage. Was die Vertragsparteien im Innenverhältnis geregelt hätten, begünstige nun die Enteigner im Aussenverhältnis. Der Baurechtsvertrag sei jedoch beim Verkauf der Liegenschaft vor 2048 nicht der einzige preisrelevante Faktor. Für potenzielle Käufer mit der Absicht, die Liegenschaft nach Ablauf der Baurechtsdauer gewinnbringend zu bewirtschaften, dürfte nach Ansicht der Beschwerdeführerin ebenso entscheidend sein, wie hoch das Ertragspotenzial der Liegenschaft nach dem Jahr 2048 sei. Dieses sei abhängig von der Lärmbelastung. Zur Ermittlung des Ertragswertes werde die zu erwartende Lärmbelastung daher in die entsprechenden Überlegungen einfliessen. Die Liegenschaft habe darum durch die übermässige Lärmbelastung selbst bei Berücksichtigung des Baurechts eine Verminderung in ihrem Verkehrswert erfahren. Bleibe die Liegenschaft nach Ablauf des Vertrages im Eigentum der Beschwerdeführerin, habe diese ab 2049 die Möglichkeit, die Rendite zu maximieren. Spätestens ab diesem Zeitpunkt werde sich die übermässige Lärmbelastung finanziell widerspiegeln. Die Enteigner machen geltend, im vorliegenden Fall sei die Voraussetzung der Spezialität der Immissionen nur vorübergehend erfüllt gewesen. Zwar seien bei der Liegenschaft der Beschwerdeführerin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 Zur Voraussetzung der Schwere des Schadens bringen die Enteigner vor,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Jedenfalls müssten die fluglärmbedingten Minderwerte von Ertragsliegenschaften durch entsprechende Ertragseinbussen nachgewiesen werden, was vorliegend nicht der Fall sei. Schliesslich weisen die Enteigner auf die durch den Flughafen bewirkten Wertsteigerungen sowie auf künftige Lärmabnahmen hin, die durch die technologische Entwicklung ermöglicht würden. Diesen Gegebenheiten müsse bei der Entschädigungsbemessung durch Abzüge Rechnung getragen werden. Vorliegend bestimme sich der Wert des Landes massgeblich durch den Ertrag aus dem Baurecht. Eine Anpassung des Baurechtszinses sei im Baurechtsvertrag nicht vorgesehen. Die Beschwerdeführerin habe zu keinem Zeitpunkt eine Baurechtszinsreduktion wegen des Fluglärms oder aus anderen Gründen hinnehmen müssen. Aufgrund des noch bis 2048 dauernden Baurechtsvertrages sei ein schwerer Schaden klar zu verneinen. Dem genauen Verkehrswert des Grundstückes komme infolge der vorzunehmenden Abzinsung keine entscheidende Bedeutung zu, weshalb die Enteigner nichts gegen den von der Schätzungskommission ermittelten Verkehrswert von Fr. 250'000.-- einzuwenden hätten.</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einen Erbgang erworben, gelten die Einwirkungen als vorhersehbar und kann kein Entschädigungsanspruch entstehen (vgl. BGE 131 II 137 E. 2.1 S. 142 mit zahlreichen Hinweisen). Ebenso wenig ist eine Entschädigung für ein Gebäude zu leisten, das erst nach diesem Datum erstellt worden ist (vgl. BGE 110 Ib 43 E. 4 S. 50; 111 Ib 233 E. 2a; nicht publ. Entscheid E.22/1992 vom 24. Juni 1996 E. 3b, während in BGE 121 II 317 E. 6c/aa die Frage offen gelassen worden ist).</w:t>
      </w:r>
    </w:p>
    <w:p>
      <w:r>
        <w:rPr>
          <w:b/>
        </w:rPr>
        <w:t>E. 6.1</w:t>
      </w:r>
    </w:p>
    <w:p>
      <w:r>
        <w:t>Aus den Akten (Schätzungsprotokoll vom 13. Dezember 2000) geht hervor, dass die auf Kat.-Nr. 6712 errichteten Wohnhäuser 1960 erbaut wurden. Die Baurechtsnehmerin als Eigentümerin der Mehrfamilienhäuser hat indes keine Entschädigungsansprüche geltend gemacht. Das Land selber wurde von der Beschwerdeführerin vor dem 1. Januar 1961 erworben. Die Beeinträchtigung dieses Landes durch Fluglärm darf daher als unvorhersehbar gelten und gibt, sofern auch die weiteren Voraussetzungen erfüllt sind, Anspruch auf Entschädigung. Indes erfolgt mit Ablauf des Baurechtsvertrags am 31. Dezember 2048 der unentgeltliche Heimfall an die Beschwerdeführerin als Baurechtsgeberin. Sie macht darum geltend, der Minderwert sei zu berechnen, wie wenn es nur eine Eigentümerin von Land und Gebäuden gäbe. Ob dem so sei, kann mit Blick auf E. 11 hiernach offen bleiben. Die Beschwerdeführerin ist bis zum Eintritt des Heimfalls Ende 2048 einzig Eigentümerin des Baurechtsgrundstücks und nicht der Mehrfamilienhäuser. Bei der Bewertung der enteigneten Grundstücke und der Bemessung des zu ersetzenden Schadens ist im Enteignungsverfahren grundsätzlich von der rechtlichen und tatsächlichen Situation im massgebenden Schätzungszeitpunkt auszugehen (s. a. unten E. 10.1), hier also von einem mit einem selbständigen und bis 2048 dauernden Baurecht belasteten Grundstück.</w:t>
      </w:r>
    </w:p>
    <w:p>
      <w:r>
        <w:rPr>
          <w:b/>
        </w:rPr>
        <w:t>E. 7</w:t>
      </w:r>
    </w:p>
    <w:p>
      <w:r>
        <w:t>Nach Meinung der Enteigner ist bei der Beurteilung der Spezialität der Immissionen angesichts der Fluglärmvorbelastung der Gemeinde Opfikon-Glattbrugg für das ganze Gebiet enteignungsrechtlich vom Immissionsgrenzwert ES III auszugehen, also auch für jene Grundstücke, die nach kommunaler Planung der ES II zugewiesen sind. An sich ist nicht ausgeschlossen, bei der enteignungsrechtlichen Beurteilung der Lärmempfindlichkeit eines Gebietes andere Massstäbe anzulegen, als sie die kommunale Planungsbehörde angewendet hat. Einer Aufstufung steht hier jedoch gerade die enteignungsrechtliche Beurteilungsweise entgegen, die für die Abgeltung von Lärm sowohl die Spezialität der Immissionen als auch deren Unvorhersehbarkeit verlangt. Zwar sind diese Voraussetzungen grundsätzlich voneinander unabhängig zu beurteilen (vgl. BGE 110 Ib 340 E. 2 S. 346), doch dürfen die einzelnen Anforderungen nicht derart umschrieben werden, dass sie zueinander in Widerspruch treten. So darf zwar wie gesagt vorausgesetzt werden, dass der Nachbar eines Flughafens schon vor dem 1. Januar 1961 - als die Lärmbelastung noch nicht voraussehbar war - Eigentümer seines Grundstücks gewesen sei, damit überhaupt ein Entschädigungsanspruch entstehen kann. Dann aber können diesem Nachbarn die Immissionen, die im Wesentlichen erst nach dem 1. Januar 1961 eingetreten sind (vgl. im Einzelnen zum Betrieb der Piste 16/34: BGE 130 II 394 E. 12.3.1 S. 420), nicht im Rahmen der Beurteilung der Spezialität der Einwirkungen als Lärmvorbelastung angerechnet werden. Hat mit anderen Worten ein Grundeigentümer sein Grundstück seinerzeit an einem Ort erworben, an welchem nach damaligem Ortsgebrauch kein (übermässiger) Lärm bestand und auch nicht zu erwarten war, so kann ihm das öffentliche Unternehmen, das den Lärm selbst bewirkt, die nachträgliche Änderung des Ortsgebrauchs nicht zur Last legen. Bei der von den Enteignern geltend gemachten Lärmvorbelastung handelt es sich aus enteignungsrechtlicher Sicht vielmehr um Auswirkungen des Werkes selbst, die im Enteignungsfall bei der Entschädigungsbemessung ausser Acht zu lassen sind ( Art. 20 Abs. 3 EntG ). Dem Antrag der Enteigner um - enteignungsrechtliche - Höhereinstufung der der ES II zugewiesenen Grundstücke ist demnach nicht zu entsprechen.</w:t>
      </w:r>
    </w:p>
    <w:p>
      <w:r>
        <w:rPr>
          <w:b/>
        </w:rPr>
        <w:t>E. 8</w:t>
      </w:r>
    </w:p>
    <w:p>
      <w:r>
        <w:t>In Übernahme der Rechtsprechung zur materiellen Enteignung ist nach Auffassung der Enteigner nur dann von einem schweren Schaden auszugehen, wenn der Minderwert wegen Fluglärms einen Drittel des Verkehrswertes der betroffenen Liegenschaften übersteigt. Die von den Enteignern in diesem Zusammenhang zitierten Entscheide zur materiellen Enteignung (Urteil A.115/1983 vom 14. Dezember 1983, publ. in ZBl 85/1986 S. 366; Urteil des Verwaltungsgerichts des Kantons Zürich vom 21. Juni 2001 [VR2000.00001]) betreffen indes nicht Lärm- oder andere Immissionen, sondern die Umzonung bzw. Nichteinzonung von Grundstücken im Rahmen kommunaler Nutzungsplanung. Weiter ist in diesen Entscheiden nicht festgestellt worden, dass Werteinbussen von Grundstücken von bis zu einem Drittel entschädigungslos hinzunehmen seien, sondern dass Bauverbote oder Baueinschränkungen, die nicht mehr als einen Drittel der Grundstücksfläche beträfen, noch in den Rahmen von hinzunehmenden öffentlichrechtlichen Eigentumsbeschränkungen fielen (vgl. auch BGE 93 I 338 E. 7 S. 342 ff. mit Hinweisen). Da auch eine bauverbotsbelastete Fläche noch einen Restwert aufweist, ist die Gesamtentwertung der Grundstücke in diesen Fällen geringer als ein Drittel. Im Übrigen ist insbesondere in BGE 116 Ib 11 eingehend erläutert worden, weshalb die Unterdrückung der nachbarlichen Abwehrrechte gegenüber übermässigen, von einem öffentlichen Werk ausgehenden Lärmimmissionen den Bestimmungen über die formelle Enteignung und den in der Rechtsprechung aufgestellten speziellen Regeln folgt, und kann hier auf jene Erwägungen verwiesen werden. Art. 16 EntG schreibt aber, gleich wie Art. 26 Abs. 2 BV , im Falle der formellen Enteignung volle Entschädigung vor. Die Voraussetzung des schweren Schadens darf deshalb keine allzu hohe Hürde bilden und lässt sich nur insoweit rechtfertigen, als der Grundsatz zum Tragen kommt, dass ein Entschädigungsanspruch nicht für jeden beliebigen hoheitlichen Eingriff und damit auch nicht für jede beliebige Beeinträchtigung durch den öffentlichen Verkehr entstehen kann. 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S. 302; 110 Ib 340 E. 2 S. 347, 123 II 481 E. 7d S. 493, 130 II 394 E. 12.3 S. 419). Eine feste, allgemein gültige Grenzziehung ist in der Praxis ausgeschlossen worden. In BGE 101 Ib 405 und BGE 102 Ib 271 wurde immerhin anerkannt, dass auch eine Entwertung von 10 % einer Liegenschaft bereits einen schweren Schaden im enteignungsrechtlichen Sinn darstellen kann. Verschiedentlich sind denn auch in bundesgerichtlichen Verfahren, die Nationalstrassenlärm betrafen und durch Vergleich erledigt werden konnten, Minderwertsentschädigungen von klar weniger als einem Drittel des Verkehrswertes des (nicht lärmbelasteten) Grundstücks zugestanden worden. Es ist nicht ersichtlich, weshalb bei Fluglärm, der sich zumindest ebenso einschneidend auswirkt wie der Strassenlärm, die Schwere des Schadens strenger umschrieben werden sollte. Auch die in den letzten Jahrzehnten eingetretene starke Erhöhung der Immobilienpreise spricht nicht für eine Anhebung der (in Prozenten ausgedrückten) Schwelle des schweren Schadens. Die Schätzungskommission hat im angefochtenen Entscheid ausgeführt, die Schwere des immissionsbedingten Schadens sei in jedem Einzelfall unter Berücksichtigung der konkreten Umstände in Prozenten des Verkehrswerts zu schätzen, den die betreffende Liegenschaft ohne die übermässigen Einwirkungen aufweisen würde. In der herkömmlichen Schätzungspraxis gelte aber seit jeher für Verkehrswertschätzungen ein Ermessensspielraum von plus/minus 10 %. Es würde daher als widersprüchlich und inkonsequent erscheinen, einen Schaden als schwer zu qualifizieren, der 10 % des geschätzten Verkehrswerts nicht erreicht. Das Erfordernis der Schwere des Schadens sei somit nur dann als erfüllt zu betrachten, wenn der Minderwert infolge Fluglärms 10 % des Verkehrswerts deutlich übersteige. Der Schätzungskommission ist darin zuzustimmen, dass der lärmbedingte Minderwert - der Einfachheit und der Praktikabilität halber - üblicherweise in Prozenten des Verkehrswerts des lärmunbelasteten Grundstücks angegeben wird. Es darf jedoch nicht vergessen werden, dass die Entschädigung nach den Regeln über die Teilenteignung zu bemessen ist. Der Grundeigentümer hat Anspruch auf Ersatz des Minderwertes, den sein Grundstück durch die dingliche Belastung erleidet, d.h. auf die Vergütung der Wertdifferenz, die sich zwischen dem Verkehrswert des unbelasteten Grundstücks und jenem des belasteten Grundstücks ergibt (vgl. Art. 19 lit. b EntG ; BGE 106 Ib 241 E. 3 S. 245; 122 II 337 E. 4c S. 343, mit Hinweisen). Der Minderwert bzw. die Entschädigung wäre somit richtigerweise nicht als prozentualer Anteil des Verkehrswertes des unbelasteten Grundstücks (oder des belasteten Grundstücks) zu bestimmen, sondern als Differenzbetrag zu ermitteln, der sich bei Gegenüberstellung der Verkehrswerte vor und nach der Lärmbelastung ergibt. Wird der Minderwert als Differenzbetrag verstanden und festgelegt, kommt dem Schätzungsermessen bei der Bestimmung des Verkehrswertes einer Liegenschaft nur wenig Bedeutung zu, wird doch eine höhere (oder tiefere) Schätzung des Verkehrswertes vor der Lärmbelastung auch eine höhere (oder tiefere) Schätzung des Verkehrswertes nach der Lärmbelastung nach sich ziehen. Die Differenz bleibt sich somit gleich. Das Vorliegen eines schweren Schadens kann daher bei einem Minderwert von 10 % nicht allein mit dem Hinweis auf das Schätzungsermessen verneint werden.</w:t>
      </w:r>
    </w:p>
    <w:p>
      <w:r>
        <w:rPr>
          <w:b/>
        </w:rPr>
        <w:t>E. 9</w:t>
      </w:r>
    </w:p>
    <w:p>
      <w:r>
        <w:t>Die Enteigner verlangen, dass bei der Bestimmung der Minderwertsentschädigung die Vorteile, die der Flughafen Zürich für die in seinem Einflussbereich liegenden Nachbargrundstücke mit sich gebracht habe, angerechnet würden. Der Flughafen habe durch seinen Betrieb und die dadurch bewirkte Wertschöpfung nicht nur das Entwicklungspotenzial der Stadt Opfikon-Glattbrugg gefördert, sondern auch eine allgemeine Wertsteigerung der Liegenschaften herbeigeführt. Dieser werkbedingte Vorteil, der am Stichtag 20 % des Wertes der Liegenschaften ausgemacht habe, sei mindestens so anzurechnen, dass vom heranzuziehenden Verkehrswert 20 % abgezogen und für die Minderwertsbestimmung von 80 % des Verkehrswertes der Liegenschaften ohne Fluglärm ausgegangen werde. Gemäss Art. 20 Abs. 3 EntG haben die durch das Unternehmen des Enteigners entstehenden Werterhöhungen oder Wertverminderungen bei der Ermittlung des Verkehrswertes ausser Betracht zu fallen. Die Verkehrswertbestimmung hat so zu erfolgen, wie wenn es das Werk des Enteigners nicht gäbe. Dieser Grundsatz findet vorab bei Totalenteignungen sowie bei Teilenteignungen Anwendung, bei denen ein Teil der Grundstücksfläche abzutreten ist (räumliche Teilenteignung) und der abzutretende Teil nach den gleichen Regeln entschädigt wird wie eine ganze Parzelle (zu den Arten von Teilenteignung vgl. BGE 103 Ib 91 E. 3 S. 97). Bei Teilenteignungen infolge übermässiger Lärmimmissionen wie der hier vorliegenden hat indes wie gesagt die Minderwertsentschädigung dem Differenzbetrag zu entsprechen, der sich bei Gegenüberstellung der Verkehrswerte vor und nach der Lärmbelastung ergibt. Allfällige werkbedingte Vorteile verbleiben dem Grundstück aber auch nach der Lärmbelastung. Da die (nicht mit der Enteignung in Zusammenhang stehenden) werterhöhenden oder wertvermindernden Auswirkungen des Werks bei der Schadensermittlung völlig wegzudenken sind, wären somit bei der Gegenüberstellung der Verkehrswerte vor und nach der Immissionsbelastung die werkbedingten Vorteile von beiden Werten abzuziehen. Auf solche - beiderseitige - Abzüge kann verzichtet werden. Insofern ist die Bemerkung in BGE 130 II 394 E. 12.3.3 S. 423 über die Vorteilsanrechnung zu relativieren. Gegen diese Überlegungen kann auch nicht eingewendet werden, dass die dem Grundeigentümer verbleibenden werkbedingten Vorteile nach Art. 22 Abs. 1 EntG angerechnet bzw. von der Entschädigung abgezogen werden müssten. Diese Bestimmung schreibt bei Teilenteignung nur die Anrechnung von "besonderen Vorteilen" ("avantages particuliers", "speciali vantaggi") vor, die dem "verbleibenden Teil" durch das Unternehmen erwachsen. Als Sondervorteil in diesem Sinne fällt nur jener Nutzen in Betracht, der (allein) dem teilenteigneten Grundstück entsteht, nicht dagegen ein allgemeiner Vorteil, der - wie bei einer generellen Wertsteigerung des Bodens - der ganzen Nachbarschaft und damit auch den Nichtenteigneten zugute kommt (HEINZ HESS/HEINRICH WEIBEL, Das Enteignungsrecht des Bundes, Bd. I N. 4 zu Art. 22; WERNER DUBACH, Die Berücksichtigung der besseren Verwendungsmöglichkeit und der werkbedingten Vor- und Nachteile bei der Festsetzung der Enteignungsentschädigung nach Bundesrecht, ZBl 79/1978 S. 6; s.a. BGE 131 II 458 E. 3.3 und E. 6).</w:t>
      </w:r>
    </w:p>
    <w:p>
      <w:r>
        <w:rPr>
          <w:b/>
        </w:rPr>
        <w:t>E. 10</w:t>
      </w:r>
    </w:p>
    <w:p>
      <w:r>
        <w:t>Weiter bringen die Enteigner vor, dass sich die Höhe der Enteignungsentschädigung unter anderem nach dem Mass der Lärmbelästigung bestimme und in diesem Zusammenhang die bereits eingetretene sowie die künftige Lärmentlastung, die dank der technologischen Entwicklung möglich sei, berücksichtigt werden müsse. Die Fluglärmbelastung habe in der Umgebung des Flughafens Zürich seit 1987 stetig und nachweislich abgenommen. In der Gegend der Pilotliegenschaften sei der Lärmpegel während der Tagesstunden seit dem Stichtag, dem 1. Januar 1997, dank leiseren Flugzeugen um rund 5 dB(A) gesunken. Bis zum Jahr 2020 könnten gemäss einem Bericht des Advisory Council for Aeronautics Research in Europe (Strategic Research Agenda, Volume 2 vom Oktober 2002) aufgrund weiterer Fortschritte im Flugzeugbau zusätzliche Reduktionen von 10 dB(A) erwartet werden. Dieser künftigen Lärmentlastung sei zwingend mit einem standardisierten Abzug von 20 % der Minderwertsentschädigung Rechnung zu tragen. Die Ausführungen der Schätzungskommission, wonach die Lärmbelastung erfahrungsgemäss eher zu- als abnehme, die künftige technologische Entwicklung ungewiss sei und auch nicht dem Flughafenhalter zugute kommen dürfte, gingen an den Tatsachen und an der Rechtslage vorbei. Die Beschwerdeführerin anerkennt, dass der Dauerschallpegel des Fluglärms während der Tagesstunden seit 2001 zurückgegangen ist. Dieser Rückgang sei allerdings nur temporär, bleibe doch die Piste 16 gemäss dem "Vorläufigen Betriebsreglement" eine der Hauptstart-Pisten. Zudem könne keineswegs davon ausgegangen werden, dass dank Verbesserungen der Triebwerkstechnologien in der überblickbaren Zukunft weitere Lärmreduktionen einträten. Vielmehr führe die Optimierung der Flugzeuge auf möglichst wenig Treibstoffverbrauch sogar zu höherem Lärm. Hinzu komme, dass seit der Einführung der sog. Südanflüge im Oktober 2003 die Einwohner von Opfikon-Glattbrugg nicht nur während des Tages sondern auch in den Tagesrand- und Nachtstunden Lärmeinwirkungen ausgesetzt seien.</w:t>
      </w:r>
    </w:p>
    <w:p>
      <w:r>
        <w:rPr>
          <w:b/>
        </w:rPr>
        <w:t>E. 10.1</w:t>
      </w:r>
    </w:p>
    <w:p>
      <w:r>
        <w:t>Nach Art. 19bis Abs. 1 EntG ist für die Frage, welche rechtliche und welche tatsächliche Situation der Bewertung des enteigneten Grundstücks zugrunde zu legen sei, auf das Datum der Einigungsverhandlung abzustellen. Diese Regelung ist indessen, wie im angefochtenen Entscheid zu Recht festgestellt wird,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 BGE 121 II 350 E. 6c/d S. 356). Die Schätzungskommission hat in Anwendung dieser Rechtsprechung den dies aestimandi auf den 1. Januar 1997 festgesetzt. Die Enteigner erklären sich mit dieser Festlegung ausdrücklich einverstanden, fordern aber wie gesagt gleichzeitig, dass bei der Schadensbemessung die inzwischen eingetretene und insbesondere die ihrer Meinung nach voraussehbare künftige Lärmsituation berücksichtigt werde. Damit verlangen sie jedoch im Grunde genommen - etwas widersprüchlich - eine Verschiebung des Schätzungszeitpunktes.</w:t>
      </w:r>
    </w:p>
    <w:p>
      <w:r>
        <w:rPr>
          <w:b/>
        </w:rPr>
        <w:t>E. 10.2</w:t>
      </w:r>
    </w:p>
    <w:p>
      <w:r>
        <w:t>Das Bundesgericht hat sich in seiner Entschädigungspraxis mit der Frage möglicher künftiger Zu- oder Abnahme von übermässigen Immissionen noch kaum befassen müssen. In der Regel ist davon ausgegangen worden, dass bei der Ermittlung des massgebenden Lärmpegels und der entsprechenden Entschädigungsbemessung auf den am Stichtag herrschenden Lärm abzustellen sei und sich dieser in absehbarer Zeit nicht wesentlich ändern werde. In BGE 110 Ib 340 ist allerdings erwogen worden, bei der Lärmermittlung statt auf den tatsächlichen Verkehr auf den "Normverkehr" abzustellen, der sich nach der Leistungsfähigkeit einer (National-)Strasse richtet. Sei vorauszusehen, dass die Verkehrsbelastung einer bestehenden Strasse stark ansteigen werde, empfehle es sich im Enteignungsverfahren,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(E. 5 S. 351 f.). Demgegenüber besteht keine bundesgerichtliche Rechtsprechung zur möglichen oder voraussehbaren Abnahme von Immissionen aus dem Betrieb eines Unternehmens in einem zukünftigen, unbestimmten Zeitpunkt (in BGE 123 II 560 war diese Frage nicht zu prüfen). Zu beurteilen waren bisher lediglich Entschädigungen für zeitlich begrenzte Beeinträchtigungen während der Bauzeit (vgl. BGE 113 Ia 353 ; 117 Ib 15 ; 132 II 428 ). Im Übrigen ist dem Bundesgericht nicht bekannt, dass in einem der Fälle, in denen Entschädigungen für Nationalstrassenlärm zugesprochen wurden und später in Anwendung der Umweltschutzgesetzgebung Lärmschutzwände erstellt worden sind, die Entschädigung vom Enteigner ganz oder teilweise zurückgefordert worden wäre.</w:t>
      </w:r>
    </w:p>
    <w:p>
      <w:r>
        <w:rPr>
          <w:b/>
        </w:rPr>
        <w:t>E. 10.3</w:t>
      </w:r>
    </w:p>
    <w:p>
      <w:r>
        <w:t>Als einer der enteignungsrechtlichen Grundsätze darf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So dürfen Inkonvenienzentschädigungen nur für Nachteile zugesprochen werden, die sich nach dem gewöhnlichen Lauf der Dinge als Folge der Enteignung voraussehen lassen ( Art. 19 lit. c EntG ). Weiter darf die Möglichkeit einer besseren Verwendung ( Art. 20 Abs. 1 EntG ) nur berücksichtigt werden, wenn sie in rechtlicher und tatsächlicher Hinsicht am Stichtag bereits bestanden hat oder, ohne die Enteignung, in nächster Zukunft eingetreten wäre; bloss theoretische Möglichkeiten oder vage Aussichten auf eine künftige günstigere Verwendung genügen nicht (vgl. etwa BGE 112 Ib 531 E. 3 S. 533; 113 Ib 39 E. 3 S. 43 ; 129 470 E. 6.1 S. 477 f.). Demnach sind nach dem Stichtag eintretende Änderungen der tatsächlichen Situation, die sich werterhöhend oder -vermindernd auswirken können, bei der Entschädigungsbemessung nur insoweit zu berücksichtigen, als sie sich im Schätzungszeitpunkt im Verkehrswert des von der Enteignung betroffenen Objektes schon niedergeschlagen haben oder mit hinreichender Sicherheit in nächster Zukunft niederschlagen werden.</w:t>
      </w:r>
    </w:p>
    <w:p>
      <w:r>
        <w:rPr>
          <w:b/>
        </w:rPr>
        <w:t>E. 10.4</w:t>
      </w:r>
    </w:p>
    <w:p>
      <w:r>
        <w:t>Es ist unbestritten, dass die Zahl der Abflüge seit dem Jahr 2000 - teils wegen des Rückgangs des Flugverkehrs, teils infolge der Verlegung von Starts auf die Piste 28 - abgenommen hat. Die Beschwerdeführer machen wie gesagt geltend, dieser Rückgang sei nur vorübergehend, befinde sich doch der Flugverkehr erneut in vollem Wachstum und bleibe die Piste 16 gemäss dem "Vorläufigen Betriebsreglement" eine der Haupt-Startpisten. Die Enteigner widersprechen dem nicht und haben in ihren Eingaben an die Schätzungskommission auch eingeräumt, dass das Verkehrsaufkommen möglicherweise wieder zunehmen könnte. Sie begründen ihr Begehren um den Abzug für künftige Lärmentlastung vielmehr mit dem technologischen Fortschritt im Flugzeugbau, der bis zum Jahr 2020 nochmals zu einer deutlichen Reduktion des Flugzeuglärms führen werde. Diese Prognose bezieht sich somit nicht auf die nächste Zukunft, sondern auf einen Zeithorizont von mehr als 20 Jahren ab dem dies aestimandi. Die prognostizierte Lärmentlastung von 10 dB(A) wird zudem in dem von den Enteignern erwähnten Bericht als blosse Zielvorstellung angegeben. In der Fachliteratur wird zwar bestätigt, dass die Entwicklung neuer Triebwerke im Gange und die Reduktion des Fluglärms theoretisch möglich sei. Praktisch lägen aber wesentliche Änderungen in weiter Ferne. Die Flugzeugindustrie werde möglichst lange an den Triebwerken der heutigen Generation festhalten, die erprobt seien und für welche eine ausgebaute Logistik bestehe. Ein Wechsel werde erst stattfinden, wenn wirtschaftliche Vorteile dafür sprächen oder schärfere Umweltbestimmungen ihn erzwängen. Zudem könnten die Fortschritte der Neuentwicklungen nicht mehr so gross sein wie jene, die seinerzeit bei der Einführung der Mantelstromtriebwerke erzielt worden seien (ROBERT HOFMANN, Lärm und Lärmbekämpfung in der Schweiz, 5. Aufl. 2003 S. 14-5). Auch der Bundesrat geht in seinem Bericht über die Luftfahrtpolitik der Schweiz 2004 davon aus, dass langfristig wieder mit einem Wachstum im Luftverkehr zu rechnen sei und dass der technologische Fortschritt nur bei einem geringen Luftverkehrswachstum ausreichen werde, um die mit dem Wachstum verbundene Mehrbelastung an Lärm- und Schadstoffemissionen zu kompensieren (Bericht vom 10. Dezember 2004, BBl 2005 S. 1781 ff., Ziff. 3.1.4.1 S. 1815). Somit ist festzuhalten, dass die von den Enteignern angerufene technologische Entwicklung im Flugzeugbau keine Tatsache darstellt, die - vom Zeitpunkt des dies aestimandi aus gesehen - in nächster Zukunft mit hinreichender Sicherheit zu einer wesentlichen Lärmentlastung führen wird und daher bei der Entschädigungsbemessung zu beachten wäre. Dem Begehren um Vornahme eines entsprechenden standardisierten Abzugs von 20 % der Minderwertsentschädigung kann nicht entsprochen werden.</w:t>
      </w:r>
    </w:p>
    <w:p>
      <w:r>
        <w:rPr>
          <w:b/>
        </w:rPr>
        <w:t>E. 11</w:t>
      </w:r>
    </w:p>
    <w:p>
      <w:r>
        <w:t>Die von der Schätzungskommission vorgenommene Verkehrswertschätzung basiert - wie in E. 6 gesehen - auf der Lageklassemethode (unter Abzinsung infolge der Dauer des Baurechts) und berücksichtigt den Barwert des Baurechts. Die Schätzungskommission führt dazu aus, der Wert der Liegenschaft sei massgeblich bestimmt durch den Ertrag aus dem langfristigen Baurecht. Ein allfälliger Erwerber könne auch ohne Fluglärm keinen höheren Baurechtszins verlangen. Der Wert der Liegenschaft sei im Verhältnis zu lagemässig vergleichbaren Objekten aus diesen Gründen und nicht infolge des Fluglärms beschränkt. Die Beschwerdeführerin beruft sich demgegenüber auf BGE 132 II 427 E. 6.2 S. 442 und macht geltend, die Vorinstanz gehe zu Unrecht von konkreten Ertragszahlen aus. Sie habe keine Erhebungen über ortsübliche Mietzinse an einer vergleichbaren, unbelasteten Lage in der näheren Umgebung gemacht. Detaillierte Überlegungen über das Mietzinssteigerungspotenzial würden genauso fehlen wie der korrekt ermittelte Verkehrswert ohne Fluglärm. Die Enteigner halten dieser Argumentation entgegen, es handle sich bei den Mehrfamilienhäusern an der Dammstrasse 29-33 um sozialen Wohnungsbau, weshalb nur sehr tiefe Mieten verlangt würden. Der Baurechtsvertrag sei jedoch am 26. Oktober 1993 bis ins Jahr 2048 verlängert worden. Eine Vertragsanpassung sei nicht vorgesehen. Entsprechend sei der Baurechtszins nicht abänderbar, unabhängig vom Fluglärm. Daher liege kein Minderwert vor. Selbst wenn von einem Minderwert ausgegangen würde, wäre der Verkehrswert nach Auffassung der Enteigner vom Jahr 2048 bis zum dies aestimandi abzuzinsen. Aus dem daraus resultierenden Betrag ergebe sich, dass sicherlich kein schwerer Schaden im Sinne der Rechtsprechung vorliege.</w:t>
      </w:r>
    </w:p>
    <w:p>
      <w:r>
        <w:rPr>
          <w:b/>
        </w:rPr>
        <w:t>E. 11.1</w:t>
      </w:r>
    </w:p>
    <w:p>
      <w:r>
        <w:t>Die Behauptung der Beschwerdeführerin, dass das Bundesgericht für dieselbe Liegenschaftenart jeweils nur eine einzige Schätzungsmethode anwende, trifft in dieser Absolutheit zwar nicht zu (vgl. etwa BGE 113 Ib 39 E. 4a-c S. 44 ff.; 128 II 74 E. 4 S. 77), bedarf aber hier keiner weiteren Ausführungen. Zum Antrag der Beschwerdeführerin hinsichtlich einer Neuschätzung durch die Eidgenössische Oberschätzungskommission gilt es festzuhalten, dass letztere kein Gremium ist, das als solches Schätzungen anstellen würde. Sie besteht vielmehr aus einer Reihe von Fachleuten aus verschiedenen Berufen, die vom Bundesgericht nach Bedarf zur fachtechnischen Beratung beigezogen werden können (vgl. Art. 80 und 82 EntG ; BGE 128 II 74 E. 3 S. 77). Vor Bundesgericht fällt aber die Wiederholung von Schätzungsverfahren in einer Vielzahl von Fällen ausser Betracht.</w:t>
      </w:r>
    </w:p>
    <w:p>
      <w:r>
        <w:rPr>
          <w:b/>
        </w:rPr>
        <w:t>E. 11.2</w:t>
      </w:r>
    </w:p>
    <w:p>
      <w:r>
        <w:t>Bei der Enteignung einer Baurechtsliegenschaft hat der Grundeigentümer in der Regel Anspruch auf den Barwert der für die Restvertragsdauer geschuldeten Baurechtszinse sowie auf den diskontierten Wert des ihm nach Ablauf des Baurechts wieder zur Verfügung stehenden Grundstücks, wobei einer allenfalls dem Bauberechtigten für die Bauten zu leistenden Entschädigung angemessen Rechnung zu tragen ist ( BGE 112 Ib 514 E. 4a S. 521). Vorliegend handelt es sich um eine Teilenteignung, bei welcher sich die Minderwertentschädigung aus der Gegenüberstellung der Situation mit und ohne Fluglärm berechnet. Zu prüfen sind demnach die etwaigen Auswirkungen der Immissionen auf den Baurechtszins, den Wert der Liegenschaft nach Ablauf des Baurechtes und die Höhe der Heimfallentschädigung, da diese drei Faktoren bei der Entschädigungsberechnung ausschlaggebend sind. Bis zum Ablauf des Baurechtsvertrags Ende 2048 hat der Fluglärm keinerlei Einfluss auf die Höhe des vertraglich festgelegten Baurechtszinssatzes. Die Beschwerdeführerin macht denn auch nicht geltend, der Baurechtszins sei seit dem dies aestimandi wegen des Fluglärms reduziert worden. Nicht zu berücksichtigen ist, dass die Beschwerdeführerin ihrer Vertragspartnerin mit dem tiefen Zins eine verdeckte Subvention gewährt haben will. Wie die Enteigner zu Recht anführen und wie sich auch aus dem Baurechtsvertrag ergibt, bezweckte die Beschwerdeführerin mit der Einräumung der Dienstbarkeit, den sozialen Wohnungsbau zu fördern. Damit hat sie den tiefen Zins freiwillig in Kauf genommen. Ein Käufer des Baurechtsgrundstückes könnte aufgrund des Baurechtsvertrages keinen höheren Baurechtszins realisieren, sondern wäre an den vereinbarten Satz gebunden. Der Wert der Liegenschaft lässt sich darum kaum mit demjenigen von ähnlich gelagerten Objekten vergleichen. Der Heimfall erfolgt unentgeltlich. Infolgedessen kann sich die Beeinträchtigung durch den Fluglärm auch nicht in der Höhe einer etwaigen Heimfallentschädigung widerspiegeln. Was die Wertberechnung des nach Ablauf des Baurechts wieder zur Verfügung stehenden Grundstückes anbelangt, ist dieser wie erwähnt auf den Schätzungszeitpunkt zu diskontieren. Dabei fragt sich, welcher Zinssatz bzw. Abzinsungsfaktor zu wählen ist. Die Enteigner halten den Satz von 4.5 % für anwendbar, doch dürfte dieser angesichts des schon längere Zeit anhaltenden tiefen Zinsniveaus wohl auch niedriger angesetzt werden. Die Frage braucht nicht abschliessend beantwortet zu werden, da sich der auf den Bewertungsstichtag abgezinste Wert auch bei Wahl eines Zinses von 3 % nur auf einen Fünftel des Wertes im Jahre 2048 beläuft (vgl. Das Schweizerische Schätzerhandbuch, Bewertung von Immobilien, Ausgabe 2005, Hrsg. Schweiz. Vereinigung kantonaler Grundstücksbewertungsexperten SVK und Schweiz. Schätzungsexpertenkammer/Schweiz. Verband der Immobilien-Treuhänder SEK/SVIT, S. 266, Abzinsungsfaktor für eine Dauer von 50 Jahren: 0.223107). Ausgehend von einem Zins von 4.5 %, sinkt der heutige Wert bzw. derjenige am dies aestimandi auf einen Zehntel (Abzinsungsfaktor 0.110710). Beläuft sich somit der diskontierte, für die Schadensermittlung massgebende Wert des Grundstückes nur noch auf einen Bruchteil des vollen Bodenwertes, so kann der im gleichen Masse verminderte Vergleichswert keinen schweren Schaden im Sinne der Rechtsprechung darstellen.</w:t>
      </w:r>
    </w:p>
    <w:p>
      <w:r>
        <w:rPr>
          <w:b/>
        </w:rPr>
        <w:t>E. 11.3</w:t>
      </w:r>
    </w:p>
    <w:p>
      <w:r>
        <w:t>Daraus folgt, dass die Schätzungskommission die Entschädigungsforderung der Beschwerdeführerin mangels eines schweren Schadens zu Recht abgewiesen hat.</w:t>
      </w:r>
    </w:p>
    <w:p>
      <w:r>
        <w:rPr>
          <w:b/>
        </w:rPr>
        <w:t>E. 12</w:t>
      </w:r>
    </w:p>
    <w:p>
      <w:r>
        <w:t>Ist die Beschwerde abzuweisen und ein Entschädigungsanspruch der Beschwerdeführerin zu verneinen, erübrigen sich weitere Ausführungen zum Antrag der Beschwerdeführerin um Zusprechung einer einmaligen Zahlung und zu den Begehren der Enteigner, die Entschädigungsleistung im Grundbuch anzumerken.</w:t>
      </w:r>
    </w:p>
    <w:p>
      <w:r>
        <w:rPr>
          <w:b/>
        </w:rPr>
        <w:t>E. 13</w:t>
      </w:r>
    </w:p>
    <w:p>
      <w:r>
        <w:t>Die Beschwerdeführerin ficht schliesslich auch die von der Schätzungskommission getroffene Kosten- und Entschädigungsregelung an und stellt Antrag auf angemessene Erhöhung der ihr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w:t>
      </w:r>
    </w:p>
    <w:p>
      <w:r>
        <w:rPr>
          <w:b/>
        </w:rPr>
        <w:t>E. 13.1</w:t>
      </w:r>
    </w:p>
    <w:p>
      <w:r>
        <w:t>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angesichts der Besonderheit des vorliegenden Falles und der weiteren Pilotverfahren zwar als eher niedrig, aber nicht als offensichtlich ungenügend. Die Beschwerde ist auch in diesem Punkt abzuweisen.</w:t>
      </w:r>
    </w:p>
    <w:p>
      <w:r>
        <w:rPr>
          <w:b/>
        </w:rPr>
        <w:t>E. 14</w:t>
      </w:r>
    </w:p>
    <w:p>
      <w:r>
        <w:t>Die Verwaltungsgerichtsbeschwerde ist demnach vollumfänglich abzuweisen. Die bundesgerichtlichen Kosten sind trotz dieses Ausgangs des Verfahrens, entsprechend der Regel von Art. 116 EntG , den Enteignern aufzuerlegen; diese haben der Beschwerdeführerin zudem eine angemessene Parteientschädigung zu bezahlen.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