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1E.19/1999 vom 4. April 2000</w:t>
      </w:r>
    </w:p>
    <w:p>
      <w:r>
        <w:t>Bundesgericht, 2000-04-04, DE</w:t>
      </w:r>
    </w:p>
    <w:p>
      <w:r>
        <w:rPr>
          <w:b/>
        </w:rPr>
        <w:t xml:space="preserve">Quelle: </w:t>
      </w:r>
      <w:r>
        <w:t>https://mcp.opencaselaw.ch/entscheid/bger_1E.19_1999</w:t>
      </w:r>
    </w:p>
    <w:p>
      <w:r>
        <w:t>FR: TF 1E.19/1999 du 4 avril 2000</w:t>
      </w:r>
    </w:p>
    <w:p>
      <w:r>
        <w:t>IT: TF 1E.19/1999 del 4 aprile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Kanton Zürich stellt Antrag auf Nichteintreten</w:t>
      </w:r>
    </w:p>
    <w:p>
      <w:r>
        <w:t>auf die Verwaltungsgerichtsbeschwerde, weil die Beschwerde-</w:t>
      </w:r>
    </w:p>
    <w:p>
      <w:r>
        <w:t>führerin zur Teilnahme am nationalstrassenrechtlichen Ein-</w:t>
      </w:r>
    </w:p>
    <w:p>
      <w:r>
        <w:t>sprache- und Beschwerdeverfahren nicht berechtigt sei. Die</w:t>
      </w:r>
    </w:p>
    <w:p>
      <w:r>
        <w:t>beschwerdeführende Vereinigung ist jedoch unabhängig von</w:t>
      </w:r>
    </w:p>
    <w:p>
      <w:r>
        <w:t>ihrer Legitimation in der Sache selbst befugt, vor Bundes-</w:t>
      </w:r>
    </w:p>
    <w:p>
      <w:r>
        <w:t>gericht geltend zu machen, sie sei zu Unrecht vom Verfahren</w:t>
      </w:r>
    </w:p>
    <w:p>
      <w:r>
        <w:t>ausgeschlossen worden ( BGE 104 Ib 307 E. 3a S. 317; BGE 118</w:t>
      </w:r>
    </w:p>
    <w:p>
      <w:r>
        <w:t>Ib 381 E. 2b/bb, 124 II 499 E. 1b, je mit zahlreichen Hin-</w:t>
      </w:r>
    </w:p>
    <w:p>
      <w:r>
        <w:t>weisen). Auf die Beschwerde ist insoweit einzutreten. Dage-</w:t>
      </w:r>
    </w:p>
    <w:p>
      <w:r>
        <w:t>gen kann auf die weiteren Vorbringen, welche die materielle</w:t>
      </w:r>
    </w:p>
    <w:p>
      <w:r>
        <w:t>Beurteilung betreffen, nicht eingegangen werden.</w:t>
      </w:r>
    </w:p>
    <w:p>
      <w:r>
        <w:rPr>
          <w:b/>
        </w:rPr>
        <w:t>E. 2</w:t>
      </w:r>
    </w:p>
    <w:p>
      <w:r>
        <w:t>Das Verwaltungsgericht hat im angefochtenen Ent-</w:t>
      </w:r>
    </w:p>
    <w:p>
      <w:r>
        <w:t>scheid festgestellt, dass die Arbeitsgruppe autobahnfreies</w:t>
      </w:r>
    </w:p>
    <w:p>
      <w:r>
        <w:t>Knonauer Amt nicht zu den gesamtschweizerischen Organisatio-</w:t>
      </w:r>
    </w:p>
    <w:p>
      <w:r>
        <w:t>nen gehöre, die vom Bundesrat als berechtigt bezeichnet wor-</w:t>
      </w:r>
    </w:p>
    <w:p>
      <w:r>
        <w:t>den sind, in Umwelt-, Natur- oder Heimatschutz-Belangen Be-</w:t>
      </w:r>
    </w:p>
    <w:p>
      <w:r>
        <w:t>schwerde zu führen. Sie wäre daher nur zur Beschwerde be-</w:t>
      </w:r>
    </w:p>
    <w:p>
      <w:r>
        <w:t>fugt, wenn sie statutengemäss im Interesse ihrer Mitglieder</w:t>
      </w:r>
    </w:p>
    <w:p>
      <w:r>
        <w:t>handelte und diese selbst in ihrer Mehrheit zur Beschwerde</w:t>
      </w:r>
    </w:p>
    <w:p>
      <w:r>
        <w:t>legitimiert wären. Letzteres wäre gemäss dem materiell mit</w:t>
      </w:r>
    </w:p>
    <w:p>
      <w:r>
        <w:t>Art. 103 lit. a OG übereinstimmenden kantonalen Verfahrens-</w:t>
      </w:r>
    </w:p>
    <w:p>
      <w:r>
        <w:t>recht nur dann der Fall, wenn die Vereinsmitglieder durch</w:t>
      </w:r>
    </w:p>
    <w:p>
      <w:r>
        <w:t>die angefochtene Verfügung stärker als jedermann betroffen</w:t>
      </w:r>
    </w:p>
    <w:p>
      <w:r>
        <w:t>würden und in einer besonderen, beachtenswerten, nahen Be-</w:t>
      </w:r>
    </w:p>
    <w:p>
      <w:r>
        <w:t>ziehung zur Streitsache stünden. Nun habe die beschwerdefüh-</w:t>
      </w:r>
    </w:p>
    <w:p>
      <w:r>
        <w:t>rende Vereinigung nicht dargelegt, inwiefern ihre Mitglieder</w:t>
      </w:r>
    </w:p>
    <w:p>
      <w:r>
        <w:t>durch den Bau der Nationalstrasse konkret berührt würden.</w:t>
      </w:r>
    </w:p>
    <w:p>
      <w:r>
        <w:t>Die in der Beschwerdeschrift dargestellten umfangreichen po-</w:t>
      </w:r>
    </w:p>
    <w:p>
      <w:r>
        <w:t>litischen Aktivitäten der Arbeitsgruppe und ihrer Mitglieder</w:t>
      </w:r>
    </w:p>
    <w:p>
      <w:r>
        <w:t>im Zusammenhang mit dem Nationalstrassenbau im Knonauer Amt</w:t>
      </w:r>
    </w:p>
    <w:p>
      <w:r>
        <w:t>vermöchten keine Betroffenheit im Sinne der Rechtsprechung</w:t>
      </w:r>
    </w:p>
    <w:p>
      <w:r>
        <w:t>zu begründen. Sei aber nicht dargetan, dass die Mitglieder</w:t>
      </w:r>
    </w:p>
    <w:p>
      <w:r>
        <w:t>der Vereinigung selber zur Beschwerde befugt wären, bestehe</w:t>
      </w:r>
    </w:p>
    <w:p>
      <w:r>
        <w:t>nach dem Gesagten auch keine Legitimation der Vereinigung.</w:t>
      </w:r>
    </w:p>
    <w:p>
      <w:r>
        <w:t>Was die Beschwerdeführerin gegen diese Erwägungen</w:t>
      </w:r>
    </w:p>
    <w:p>
      <w:r>
        <w:t>vorbringt, lässt den angefochtenen Entscheid nicht als un-</w:t>
      </w:r>
    </w:p>
    <w:p>
      <w:r>
        <w:t>rechtmässig erscheinen. Soweit die Vereinigung in der eid-</w:t>
      </w:r>
    </w:p>
    <w:p>
      <w:r>
        <w:t>genössischen Verwaltungsgerichtsbeschwerde erneut auf das</w:t>
      </w:r>
    </w:p>
    <w:p>
      <w:r>
        <w:t>politische Engagement ihrer Mitglieder hinweist, gilt das</w:t>
      </w:r>
    </w:p>
    <w:p>
      <w:r>
        <w:t>bereits vom Verwaltungsgericht Gesagte. Die Bemerkung, es</w:t>
      </w:r>
    </w:p>
    <w:p>
      <w:r>
        <w:t>bestehe kein Anlass, die Beschwerdelegitimation so eng aus-</w:t>
      </w:r>
    </w:p>
    <w:p>
      <w:r>
        <w:t>zulegen, wie dies der Zürcher Regierungsrat und das Zürcher</w:t>
      </w:r>
    </w:p>
    <w:p>
      <w:r>
        <w:t>Verwaltungsgericht getan hätten, ist nicht geeignet, irgend-</w:t>
      </w:r>
    </w:p>
    <w:p>
      <w:r>
        <w:t>eine Rechtswidrigkeit aufzuzeigen. Die Vereinigung behauptet</w:t>
      </w:r>
    </w:p>
    <w:p>
      <w:r>
        <w:t>im Übrigen selbst nicht, dass sie die nahe Beziehung ihrer</w:t>
      </w:r>
    </w:p>
    <w:p>
      <w:r>
        <w:t>Mitglieder zu den angefochtenen Projekten, welche nach bun-</w:t>
      </w:r>
    </w:p>
    <w:p>
      <w:r>
        <w:t>desgerichtlicher Rechtsprechung vor allem in</w:t>
      </w:r>
    </w:p>
    <w:p>
      <w:r>
        <w:t>räumlicher Hin-</w:t>
      </w:r>
    </w:p>
    <w:p>
      <w:r>
        <w:t>sicht gegeben sein muss (vgl. BGE 120 Ib 59 E. 1c mit Hin-</w:t>
      </w:r>
    </w:p>
    <w:p>
      <w:r>
        <w:t>weis), im kantonalen Verfahren nachgewiesen hätte. Es wäre</w:t>
      </w:r>
    </w:p>
    <w:p>
      <w:r>
        <w:t>jedoch ihre Sache gewesen, diese Beziehung in ihrer Ein-</w:t>
      </w:r>
    </w:p>
    <w:p>
      <w:r>
        <w:t>sprache darzutun, da sich die Pflicht zur Begründung von</w:t>
      </w:r>
    </w:p>
    <w:p>
      <w:r>
        <w:t>Einwendungen jedenfalls in Verfahren, in denen es um Gross-</w:t>
      </w:r>
    </w:p>
    <w:p>
      <w:r>
        <w:t>projekte mit weitem Betroffenenkreis geht, auch auf die</w:t>
      </w:r>
    </w:p>
    <w:p>
      <w:r>
        <w:t>Frage der Legitimation erstreckt ( BGE 120 Ib 431 E. 1 mit</w:t>
      </w:r>
    </w:p>
    <w:p>
      <w:r>
        <w:t>Hinweis). Es hilft der Beschwerdeführerin deshalb nicht,</w:t>
      </w:r>
    </w:p>
    <w:p>
      <w:r>
        <w:t>dass sie sich vor Bundesgericht bereit erklärt, eine Mit-</w:t>
      </w:r>
    </w:p>
    <w:p>
      <w:r>
        <w:t>gliederliste nachzureichen, die allerdings vertraulich be-</w:t>
      </w:r>
    </w:p>
    <w:p>
      <w:r>
        <w:t>handelt werden müsste und nicht zu den Akten gegeben werden</w:t>
      </w:r>
    </w:p>
    <w:p>
      <w:r>
        <w:t>dürfte: Einerseits hätte diese Liste wie erwähnt bereits im</w:t>
      </w:r>
    </w:p>
    <w:p>
      <w:r>
        <w:t>Einspracheverfahren vorgelegt werden müssen und andererseits</w:t>
      </w:r>
    </w:p>
    <w:p>
      <w:r>
        <w:t>verstiesse es gegen die Parteirechte, wenn der Gegenseite</w:t>
      </w:r>
    </w:p>
    <w:p>
      <w:r>
        <w:t>die Einsicht in diese Liste verweigert würde.</w:t>
      </w:r>
    </w:p>
    <w:p>
      <w:r>
        <w:t>Die Verwaltungsgerichtsbeschwerde ist daher als un-</w:t>
      </w:r>
    </w:p>
    <w:p>
      <w:r>
        <w:t>begründet abzuweisen, soweit überhaupt auf sie einzutreten</w:t>
      </w:r>
    </w:p>
    <w:p>
      <w:r>
        <w:t>ist.</w:t>
      </w:r>
    </w:p>
    <w:p>
      <w:r>
        <w:rPr>
          <w:b/>
        </w:rPr>
        <w:t>E. 3</w:t>
      </w:r>
    </w:p>
    <w:p>
      <w:r>
        <w:t>Der Kanton Zürich beanstandet in seiner Beschwerde-</w:t>
      </w:r>
    </w:p>
    <w:p>
      <w:r>
        <w:t>antwort, dass das Verwaltungsgericht in Anwendung des eidge-</w:t>
      </w:r>
    </w:p>
    <w:p>
      <w:r>
        <w:t>nössischen Enteignungsrechts über die Verfahrenskosten ent-</w:t>
      </w:r>
    </w:p>
    <w:p>
      <w:r>
        <w:t>schieden habe, obschon die beschwerdeführende Vereinigung</w:t>
      </w:r>
    </w:p>
    <w:p>
      <w:r>
        <w:t>nicht zu den Enteigneten zähle. Es trifft zu, dass die ent-</w:t>
      </w:r>
    </w:p>
    <w:p>
      <w:r>
        <w:t>eignungsrechtlichen Spezialvorschriften über die Kosten- und</w:t>
      </w:r>
    </w:p>
    <w:p>
      <w:r>
        <w:t>Entschädigungsfolgen nur zum Zuge kommen können, wenn dem</w:t>
      </w:r>
    </w:p>
    <w:p>
      <w:r>
        <w:t>Einsprecher oder Beschwerdeführer selbst eine Enteignung</w:t>
      </w:r>
    </w:p>
    <w:p>
      <w:r>
        <w:t>droht oder ihm gemäss Art. 55 Abs. 2 des Bundesgesetzes über</w:t>
      </w:r>
    </w:p>
    <w:p>
      <w:r>
        <w:t>den Umweltschutz oder Art. 12 des Bundesgesetzes über den</w:t>
      </w:r>
    </w:p>
    <w:p>
      <w:r>
        <w:t>Natur- und Heimatschutz das Recht zusteht, Einsprachen im</w:t>
      </w:r>
    </w:p>
    <w:p>
      <w:r>
        <w:t>Sinne von Art. 7 bis 10 des Bundesgesetzes über die Enteig-</w:t>
      </w:r>
    </w:p>
    <w:p>
      <w:r>
        <w:t>nung zu erheben. Können dagegen die Teilnehmer an enteig-</w:t>
      </w:r>
    </w:p>
    <w:p>
      <w:r>
        <w:t>nungsrechtlichen Einsprache- und Plangenehmigungs-Verfahren</w:t>
      </w:r>
    </w:p>
    <w:p>
      <w:r>
        <w:t>nur tatsächliche Interessen geltend machen und keinerlei</w:t>
      </w:r>
    </w:p>
    <w:p>
      <w:r>
        <w:t>enteignungsrechtliche Einwendungen erheben, so gelten die</w:t>
      </w:r>
    </w:p>
    <w:p>
      <w:r>
        <w:t>allgemeinen Kostenregeln (vgl. BGE 111 Ib 32 , insbesondere</w:t>
      </w:r>
    </w:p>
    <w:p>
      <w:r>
        <w:t>E. 2d). Demgemäss sind die Kosten des bundesgerichtlichen</w:t>
      </w:r>
    </w:p>
    <w:p>
      <w:r>
        <w:t>Verfahrens im vorliegenden Fall in Anwendung von Art. 156</w:t>
      </w:r>
    </w:p>
    <w:p>
      <w:r>
        <w:t>Abs. 1 OG der Beschwerdeführerin aufzuerlegen, wobei die</w:t>
      </w:r>
    </w:p>
    <w:p>
      <w:r>
        <w:t>Gerichtsgebühr allerdings niedrig gehalten werden kann. Eine</w:t>
      </w:r>
    </w:p>
    <w:p>
      <w:r>
        <w:t>Parteientschädigung ist dem Kanton Zürich gemäss Art. 159</w:t>
      </w:r>
    </w:p>
    <w:p>
      <w:r>
        <w:t>Abs. 2 OG nicht zuzusprechen.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